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F8E57" w14:textId="77777777" w:rsidR="0043787C" w:rsidRDefault="0043787C" w:rsidP="0043787C">
      <w:pPr>
        <w:jc w:val="center"/>
      </w:pPr>
      <w:r>
        <w:t>The Progression of Women in Legislation: From Property to People</w:t>
      </w:r>
      <w:bookmarkStart w:id="0" w:name="_GoBack"/>
      <w:bookmarkEnd w:id="0"/>
    </w:p>
    <w:p w14:paraId="6F44624A" w14:textId="77777777" w:rsidR="0043787C" w:rsidRDefault="0043787C" w:rsidP="0043787C">
      <w:pPr>
        <w:jc w:val="center"/>
      </w:pPr>
    </w:p>
    <w:p w14:paraId="2D7BA40D" w14:textId="77777777" w:rsidR="0043787C" w:rsidRDefault="0043787C" w:rsidP="0043787C">
      <w:pPr>
        <w:jc w:val="center"/>
      </w:pPr>
    </w:p>
    <w:p w14:paraId="7B51413D" w14:textId="77777777" w:rsidR="0043787C" w:rsidRDefault="0043787C" w:rsidP="0043787C">
      <w:pPr>
        <w:jc w:val="center"/>
      </w:pPr>
    </w:p>
    <w:p w14:paraId="7740BC0A" w14:textId="77777777" w:rsidR="0043787C" w:rsidRDefault="0043787C" w:rsidP="0043787C">
      <w:pPr>
        <w:jc w:val="center"/>
      </w:pPr>
      <w:proofErr w:type="gramStart"/>
      <w:r>
        <w:t>by</w:t>
      </w:r>
      <w:proofErr w:type="gramEnd"/>
    </w:p>
    <w:p w14:paraId="097AC7A5" w14:textId="77777777" w:rsidR="0043787C" w:rsidRDefault="0043787C" w:rsidP="0043787C">
      <w:pPr>
        <w:jc w:val="center"/>
      </w:pPr>
    </w:p>
    <w:p w14:paraId="4649A9BB" w14:textId="77777777" w:rsidR="0043787C" w:rsidRDefault="0043787C" w:rsidP="0043787C">
      <w:pPr>
        <w:jc w:val="center"/>
      </w:pPr>
      <w:r>
        <w:t>Hanna Shea Fox</w:t>
      </w:r>
    </w:p>
    <w:p w14:paraId="13014BE5" w14:textId="77777777" w:rsidR="0043787C" w:rsidRDefault="0043787C" w:rsidP="0043787C">
      <w:pPr>
        <w:jc w:val="center"/>
      </w:pPr>
    </w:p>
    <w:p w14:paraId="33C94551" w14:textId="77777777" w:rsidR="0043787C" w:rsidRDefault="0043787C" w:rsidP="0043787C">
      <w:pPr>
        <w:jc w:val="center"/>
      </w:pPr>
    </w:p>
    <w:p w14:paraId="4B7505F3" w14:textId="77777777" w:rsidR="0043787C" w:rsidRDefault="0043787C" w:rsidP="0043787C">
      <w:pPr>
        <w:jc w:val="center"/>
      </w:pPr>
      <w:r>
        <w:t xml:space="preserve">Honors Thesis </w:t>
      </w:r>
    </w:p>
    <w:p w14:paraId="637206BA" w14:textId="77777777" w:rsidR="0043787C" w:rsidRDefault="0043787C" w:rsidP="0043787C">
      <w:pPr>
        <w:jc w:val="center"/>
      </w:pPr>
    </w:p>
    <w:p w14:paraId="28790A67" w14:textId="77777777" w:rsidR="0043787C" w:rsidRDefault="0043787C" w:rsidP="0043787C">
      <w:pPr>
        <w:jc w:val="center"/>
      </w:pPr>
      <w:r>
        <w:t>Appalachian State University</w:t>
      </w:r>
    </w:p>
    <w:p w14:paraId="4690DC6C" w14:textId="77777777" w:rsidR="0043787C" w:rsidRDefault="0043787C" w:rsidP="0043787C">
      <w:pPr>
        <w:jc w:val="center"/>
      </w:pPr>
    </w:p>
    <w:p w14:paraId="3E64EE41" w14:textId="77777777" w:rsidR="0043787C" w:rsidRDefault="0043787C" w:rsidP="0043787C">
      <w:pPr>
        <w:jc w:val="center"/>
      </w:pPr>
      <w:r>
        <w:t>Submitted to the Department of Government and Justice Studies</w:t>
      </w:r>
    </w:p>
    <w:p w14:paraId="41151758" w14:textId="77777777" w:rsidR="0043787C" w:rsidRDefault="0043787C" w:rsidP="0043787C">
      <w:pPr>
        <w:jc w:val="center"/>
      </w:pPr>
      <w:proofErr w:type="gramStart"/>
      <w:r w:rsidRPr="0043787C">
        <w:t>and</w:t>
      </w:r>
      <w:proofErr w:type="gramEnd"/>
      <w:r w:rsidRPr="0043787C">
        <w:t xml:space="preserve"> The Honors College</w:t>
      </w:r>
    </w:p>
    <w:p w14:paraId="612D5BBD" w14:textId="77777777" w:rsidR="0043787C" w:rsidRDefault="0043787C" w:rsidP="0043787C">
      <w:pPr>
        <w:jc w:val="center"/>
      </w:pPr>
      <w:proofErr w:type="gramStart"/>
      <w:r>
        <w:t>in</w:t>
      </w:r>
      <w:proofErr w:type="gramEnd"/>
      <w:r>
        <w:t xml:space="preserve"> partial fulfillment of the requirements for the degree of</w:t>
      </w:r>
    </w:p>
    <w:p w14:paraId="24255A86" w14:textId="77777777" w:rsidR="0043787C" w:rsidRDefault="0043787C" w:rsidP="0043787C">
      <w:pPr>
        <w:jc w:val="center"/>
      </w:pPr>
    </w:p>
    <w:p w14:paraId="480E79A1" w14:textId="77777777" w:rsidR="0043787C" w:rsidRDefault="0043787C" w:rsidP="0043787C">
      <w:pPr>
        <w:jc w:val="center"/>
      </w:pPr>
      <w:r>
        <w:t>Bachelor of Arts</w:t>
      </w:r>
    </w:p>
    <w:p w14:paraId="6E5D031B" w14:textId="77777777" w:rsidR="0043787C" w:rsidRDefault="0043787C" w:rsidP="0043787C">
      <w:pPr>
        <w:jc w:val="center"/>
      </w:pPr>
    </w:p>
    <w:p w14:paraId="014D190D" w14:textId="77777777" w:rsidR="0043787C" w:rsidRDefault="0043787C" w:rsidP="0043787C">
      <w:pPr>
        <w:jc w:val="center"/>
      </w:pPr>
      <w:proofErr w:type="gramStart"/>
      <w:r>
        <w:t>May,</w:t>
      </w:r>
      <w:proofErr w:type="gramEnd"/>
      <w:r>
        <w:t xml:space="preserve"> 2015</w:t>
      </w:r>
    </w:p>
    <w:p w14:paraId="05C6AD1E" w14:textId="77777777" w:rsidR="0043787C" w:rsidRDefault="0043787C" w:rsidP="0043787C">
      <w:pPr>
        <w:jc w:val="center"/>
      </w:pPr>
    </w:p>
    <w:p w14:paraId="31EBFD84" w14:textId="77777777" w:rsidR="0043787C" w:rsidRDefault="0043787C" w:rsidP="0043787C"/>
    <w:p w14:paraId="456976F8" w14:textId="77777777" w:rsidR="0043787C" w:rsidRDefault="0043787C" w:rsidP="0043787C"/>
    <w:p w14:paraId="7A05E39E" w14:textId="77777777" w:rsidR="0043787C" w:rsidRDefault="0043787C" w:rsidP="0043787C"/>
    <w:p w14:paraId="4EFA0C8C" w14:textId="77777777" w:rsidR="0043787C" w:rsidRDefault="0043787C" w:rsidP="0043787C"/>
    <w:p w14:paraId="69C04347" w14:textId="77777777" w:rsidR="0043787C" w:rsidRDefault="0043787C" w:rsidP="0043787C">
      <w:r>
        <w:t>Approved by:</w:t>
      </w:r>
      <w:r>
        <w:tab/>
      </w:r>
    </w:p>
    <w:p w14:paraId="0FE1F4A1" w14:textId="77777777" w:rsidR="0043787C" w:rsidRDefault="0043787C" w:rsidP="0043787C"/>
    <w:p w14:paraId="6A72854D" w14:textId="77777777" w:rsidR="0043787C" w:rsidRDefault="0043787C" w:rsidP="0043787C">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70B962" w14:textId="77777777" w:rsidR="0043787C" w:rsidRDefault="0043787C" w:rsidP="0043787C">
      <w:pPr>
        <w:jc w:val="right"/>
      </w:pPr>
      <w:proofErr w:type="spellStart"/>
      <w:r>
        <w:t>Elicka</w:t>
      </w:r>
      <w:proofErr w:type="spellEnd"/>
      <w:r>
        <w:t xml:space="preserve"> Peterson-Sparks, Ph.D., Thesis Director</w:t>
      </w:r>
    </w:p>
    <w:p w14:paraId="6D84B958" w14:textId="77777777" w:rsidR="0043787C" w:rsidRDefault="0043787C" w:rsidP="0043787C">
      <w:pPr>
        <w:jc w:val="right"/>
      </w:pPr>
    </w:p>
    <w:p w14:paraId="17C74F85" w14:textId="77777777" w:rsidR="0043787C" w:rsidRDefault="0043787C" w:rsidP="0043787C">
      <w:pPr>
        <w:jc w:val="right"/>
      </w:pPr>
    </w:p>
    <w:p w14:paraId="5442602E" w14:textId="77777777" w:rsidR="0043787C" w:rsidRDefault="0043787C" w:rsidP="0043787C">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70ADC3" w14:textId="35E8F0A8" w:rsidR="0043787C" w:rsidRDefault="00260412" w:rsidP="0043787C">
      <w:pPr>
        <w:jc w:val="right"/>
      </w:pPr>
      <w:r>
        <w:t>Sheil</w:t>
      </w:r>
      <w:r w:rsidR="0043787C">
        <w:t xml:space="preserve">a Phipps, Ph.D., Second Reader </w:t>
      </w:r>
      <w:r w:rsidR="0043787C">
        <w:br/>
      </w:r>
    </w:p>
    <w:p w14:paraId="2AC6DEA5" w14:textId="77777777" w:rsidR="0043787C" w:rsidRDefault="0043787C" w:rsidP="0043787C">
      <w:pPr>
        <w:jc w:val="right"/>
      </w:pPr>
    </w:p>
    <w:p w14:paraId="2A581A63" w14:textId="77777777" w:rsidR="0043787C" w:rsidRDefault="0043787C" w:rsidP="0043787C">
      <w:pPr>
        <w:jc w:val="right"/>
      </w:pPr>
    </w:p>
    <w:p w14:paraId="10F91585" w14:textId="77777777" w:rsidR="0043787C" w:rsidRDefault="0043787C" w:rsidP="0043787C">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BB42B8" w14:textId="77777777" w:rsidR="0043787C" w:rsidRDefault="0043787C" w:rsidP="0043787C">
      <w:pPr>
        <w:jc w:val="right"/>
      </w:pPr>
      <w:r>
        <w:t xml:space="preserve"> </w:t>
      </w:r>
      <w:proofErr w:type="spellStart"/>
      <w:r>
        <w:t>Elicka</w:t>
      </w:r>
      <w:proofErr w:type="spellEnd"/>
      <w:r>
        <w:t xml:space="preserve"> Peterson-Sparks, Ph.D., Government and Justice Studies Honors Director </w:t>
      </w:r>
      <w:r>
        <w:br/>
      </w:r>
    </w:p>
    <w:p w14:paraId="30FB578C" w14:textId="77777777" w:rsidR="0043787C" w:rsidRDefault="0043787C" w:rsidP="0043787C">
      <w:pPr>
        <w:jc w:val="right"/>
      </w:pPr>
    </w:p>
    <w:p w14:paraId="355A735F" w14:textId="77777777" w:rsidR="0043787C" w:rsidRDefault="0043787C" w:rsidP="0043787C">
      <w:pPr>
        <w:jc w:val="right"/>
      </w:pPr>
    </w:p>
    <w:p w14:paraId="6A08D15C" w14:textId="77777777" w:rsidR="0043787C" w:rsidRDefault="0043787C" w:rsidP="0043787C">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54AC0F" w14:textId="77777777" w:rsidR="0043787C" w:rsidRDefault="0043787C" w:rsidP="0043787C">
      <w:pPr>
        <w:jc w:val="right"/>
      </w:pPr>
      <w:r>
        <w:t>Leslie Sargent Jones, Ph.D., Director, The Honors College</w:t>
      </w:r>
    </w:p>
    <w:p w14:paraId="6EC3BDFD" w14:textId="77777777" w:rsidR="00635006" w:rsidRDefault="00635006" w:rsidP="00635006">
      <w:pPr>
        <w:jc w:val="center"/>
        <w:rPr>
          <w:rFonts w:ascii="Times New Roman" w:hAnsi="Times New Roman" w:cs="Times New Roman"/>
        </w:rPr>
        <w:sectPr w:rsidR="00635006" w:rsidSect="0091719E">
          <w:headerReference w:type="even" r:id="rId8"/>
          <w:headerReference w:type="default" r:id="rId9"/>
          <w:pgSz w:w="12240" w:h="15840"/>
          <w:pgMar w:top="1440" w:right="1800" w:bottom="1440" w:left="1800" w:header="720" w:footer="720" w:gutter="0"/>
          <w:cols w:space="720"/>
          <w:titlePg/>
          <w:docGrid w:linePitch="360"/>
        </w:sectPr>
      </w:pPr>
    </w:p>
    <w:p w14:paraId="665C8001" w14:textId="77777777" w:rsidR="00635006" w:rsidRPr="00635006" w:rsidRDefault="00635006" w:rsidP="00635006">
      <w:pPr>
        <w:jc w:val="center"/>
        <w:rPr>
          <w:rFonts w:ascii="Times New Roman" w:hAnsi="Times New Roman" w:cs="Times New Roman"/>
        </w:rPr>
      </w:pPr>
      <w:r w:rsidRPr="00635006">
        <w:rPr>
          <w:rFonts w:ascii="Times New Roman" w:hAnsi="Times New Roman" w:cs="Times New Roman"/>
        </w:rPr>
        <w:lastRenderedPageBreak/>
        <w:t>Abstract</w:t>
      </w:r>
    </w:p>
    <w:p w14:paraId="05A79230" w14:textId="77777777" w:rsidR="00635006" w:rsidRPr="00635006" w:rsidRDefault="00635006" w:rsidP="00635006">
      <w:pPr>
        <w:rPr>
          <w:rFonts w:ascii="Times New Roman" w:hAnsi="Times New Roman" w:cs="Times New Roman"/>
        </w:rPr>
      </w:pPr>
    </w:p>
    <w:p w14:paraId="089FFD87" w14:textId="77777777" w:rsidR="00635006" w:rsidRP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 xml:space="preserve">In this thesis, the transformation of the legal status of women will be examined. Beginning with a discussion of the common law foundations and focusing especially on </w:t>
      </w:r>
      <w:r w:rsidRPr="00635006">
        <w:rPr>
          <w:rFonts w:ascii="Times New Roman" w:hAnsi="Times New Roman" w:cs="Times New Roman"/>
          <w:i/>
        </w:rPr>
        <w:t>coverture</w:t>
      </w:r>
      <w:r w:rsidRPr="00635006">
        <w:rPr>
          <w:rFonts w:ascii="Times New Roman" w:hAnsi="Times New Roman" w:cs="Times New Roman"/>
        </w:rPr>
        <w:t>, this paper will provide a history of how women’s place in society developed through legislation as they gradually evolved from being recognized as the property of their husbands to being sovereign individuals. This progression for women was slow, and remains incomplete. Despite progress, echoes</w:t>
      </w:r>
      <w:r w:rsidR="009E6E14">
        <w:rPr>
          <w:rFonts w:ascii="Times New Roman" w:hAnsi="Times New Roman" w:cs="Times New Roman"/>
        </w:rPr>
        <w:t xml:space="preserve"> of</w:t>
      </w:r>
      <w:r w:rsidRPr="00635006">
        <w:rPr>
          <w:rFonts w:ascii="Times New Roman" w:hAnsi="Times New Roman" w:cs="Times New Roman"/>
        </w:rPr>
        <w:t xml:space="preserve"> patriarchal oppression still exist in law today.  </w:t>
      </w:r>
    </w:p>
    <w:p w14:paraId="7CCDDF75" w14:textId="77777777" w:rsidR="00635006" w:rsidRP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 xml:space="preserve">The legal inferiority of women derives from British common laws accepted by colonists. Societal norms in those times dictated that a woman remain connected to some level of male leadership, be it a husband or immediate male family member. </w:t>
      </w:r>
      <w:r w:rsidRPr="00635006">
        <w:rPr>
          <w:rFonts w:ascii="Times New Roman" w:hAnsi="Times New Roman" w:cs="Times New Roman"/>
          <w:i/>
        </w:rPr>
        <w:t>Coverture</w:t>
      </w:r>
      <w:r w:rsidRPr="00635006">
        <w:rPr>
          <w:rFonts w:ascii="Times New Roman" w:hAnsi="Times New Roman" w:cs="Times New Roman"/>
        </w:rPr>
        <w:t xml:space="preserve">, a concept derived from the French </w:t>
      </w:r>
      <w:r w:rsidRPr="00635006">
        <w:rPr>
          <w:rFonts w:ascii="Times New Roman" w:hAnsi="Times New Roman" w:cs="Times New Roman"/>
          <w:i/>
        </w:rPr>
        <w:t>femme-covert,</w:t>
      </w:r>
      <w:r w:rsidRPr="00635006">
        <w:rPr>
          <w:rFonts w:ascii="Times New Roman" w:hAnsi="Times New Roman" w:cs="Times New Roman"/>
        </w:rPr>
        <w:t xml:space="preserve"> ensured that a woman’s civil identity was essentially non-existent. Once a woman married, everything she had--including property, inheritance, possessions, and earnings--belonged to her husband. Women lost rights to their names, custody of their children, and </w:t>
      </w:r>
      <w:r>
        <w:rPr>
          <w:rFonts w:ascii="Times New Roman" w:hAnsi="Times New Roman" w:cs="Times New Roman"/>
        </w:rPr>
        <w:t>freedom</w:t>
      </w:r>
      <w:r w:rsidRPr="00635006">
        <w:rPr>
          <w:rFonts w:ascii="Times New Roman" w:hAnsi="Times New Roman" w:cs="Times New Roman"/>
        </w:rPr>
        <w:t xml:space="preserve"> to acquire property. Politically, a man and his wife were viewed as a single individual, suspending the legal existence of women altogether. </w:t>
      </w:r>
    </w:p>
    <w:p w14:paraId="01028D49" w14:textId="77777777" w:rsidR="00635006" w:rsidRP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 xml:space="preserve">Women have fought for their legal rights and independence since the founding of our nation. Activist and women’s organizations demanded suffrage and made incremental steps toward legal equality. Following the American Civil War, many women urged for a reform in the common law foundations rules of </w:t>
      </w:r>
      <w:r w:rsidRPr="00635006">
        <w:rPr>
          <w:rFonts w:ascii="Times New Roman" w:hAnsi="Times New Roman" w:cs="Times New Roman"/>
          <w:i/>
        </w:rPr>
        <w:t>coverture</w:t>
      </w:r>
      <w:r w:rsidRPr="00635006">
        <w:rPr>
          <w:rFonts w:ascii="Times New Roman" w:hAnsi="Times New Roman" w:cs="Times New Roman"/>
        </w:rPr>
        <w:t xml:space="preserve">. These laws had implications beyond those explicitly stated, as men became responsible not only for their wives’ financial stability and protection, but also for instilling discipline. Many cases developed </w:t>
      </w:r>
      <w:r w:rsidRPr="00635006">
        <w:rPr>
          <w:rFonts w:ascii="Times New Roman" w:hAnsi="Times New Roman" w:cs="Times New Roman"/>
        </w:rPr>
        <w:lastRenderedPageBreak/>
        <w:t xml:space="preserve">that reinforced the role of women as property; domestic violence and rape were prosecuted as crimes against property rather than people. Much of the women’s movement focused on establishing women as human beings in an effort to create policy change. </w:t>
      </w:r>
    </w:p>
    <w:p w14:paraId="59F2CDB5" w14:textId="7AC2F180" w:rsid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 xml:space="preserve">Over time, strides were made toward equality as women gained marriage rights, labor rights, suffrage, and the ability to serve in the military. These strides were slow, and oftentimes halted entirely. Each of these issues can be connected back to the concept of </w:t>
      </w:r>
      <w:r w:rsidRPr="00635006">
        <w:rPr>
          <w:rFonts w:ascii="Times New Roman" w:hAnsi="Times New Roman" w:cs="Times New Roman"/>
          <w:i/>
        </w:rPr>
        <w:t>coverture</w:t>
      </w:r>
      <w:r w:rsidRPr="00635006">
        <w:rPr>
          <w:rFonts w:ascii="Times New Roman" w:hAnsi="Times New Roman" w:cs="Times New Roman"/>
        </w:rPr>
        <w:t xml:space="preserve"> and the idea of women as property. Some of these legal concepts have only been addressed in recent history, despite the timeworn logic of their foundations. There are many laws, particularly related to domestic and sexual assault </w:t>
      </w:r>
      <w:r w:rsidR="00260412">
        <w:rPr>
          <w:rFonts w:ascii="Times New Roman" w:hAnsi="Times New Roman" w:cs="Times New Roman"/>
        </w:rPr>
        <w:t>that, even now,</w:t>
      </w:r>
      <w:r w:rsidRPr="00635006">
        <w:rPr>
          <w:rFonts w:ascii="Times New Roman" w:hAnsi="Times New Roman" w:cs="Times New Roman"/>
        </w:rPr>
        <w:t xml:space="preserve"> echo the idea of women as the property of others in need of direction, protection, and discipline. </w:t>
      </w:r>
    </w:p>
    <w:p w14:paraId="52CA8EB1" w14:textId="77777777" w:rsidR="00635006" w:rsidRDefault="00635006">
      <w:pPr>
        <w:rPr>
          <w:rFonts w:ascii="Times New Roman" w:hAnsi="Times New Roman" w:cs="Times New Roman"/>
        </w:rPr>
      </w:pPr>
      <w:r>
        <w:rPr>
          <w:rFonts w:ascii="Times New Roman" w:hAnsi="Times New Roman" w:cs="Times New Roman"/>
        </w:rPr>
        <w:br w:type="page"/>
      </w:r>
    </w:p>
    <w:p w14:paraId="4FA7A76E" w14:textId="6E49CF92" w:rsidR="00635006" w:rsidRPr="00635006" w:rsidRDefault="00635006" w:rsidP="00FB772B">
      <w:pPr>
        <w:spacing w:line="480" w:lineRule="auto"/>
        <w:ind w:firstLine="720"/>
        <w:jc w:val="center"/>
        <w:rPr>
          <w:rFonts w:ascii="Times New Roman" w:hAnsi="Times New Roman" w:cs="Times New Roman"/>
        </w:rPr>
      </w:pPr>
      <w:r w:rsidRPr="00635006">
        <w:rPr>
          <w:rFonts w:ascii="Times New Roman" w:hAnsi="Times New Roman" w:cs="Times New Roman"/>
        </w:rPr>
        <w:lastRenderedPageBreak/>
        <w:t>“The destiny of the woman must be shaped to a large extent on her own conception of her spiritual imperatives and her place in society. ”</w:t>
      </w:r>
    </w:p>
    <w:p w14:paraId="6DCEFDE0" w14:textId="20AD0003" w:rsidR="00635006" w:rsidRPr="00635006" w:rsidRDefault="00635006" w:rsidP="00FB772B">
      <w:pPr>
        <w:spacing w:line="480" w:lineRule="auto"/>
        <w:ind w:firstLine="720"/>
        <w:jc w:val="center"/>
        <w:rPr>
          <w:rFonts w:ascii="Times New Roman" w:hAnsi="Times New Roman" w:cs="Times New Roman"/>
        </w:rPr>
      </w:pPr>
      <w:r w:rsidRPr="00635006">
        <w:rPr>
          <w:rFonts w:ascii="Times New Roman" w:hAnsi="Times New Roman" w:cs="Times New Roman"/>
        </w:rPr>
        <w:t>-Sandra Day O’Connor</w:t>
      </w:r>
    </w:p>
    <w:p w14:paraId="38EE6F30" w14:textId="77777777" w:rsidR="00635006" w:rsidRP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 xml:space="preserve">The legal rights of women have completely transformed over the course of America’s history. Women began life in America as civilly irrelevant. From this position women strived, incrementally, to eradicate the limitations of their own empowerment. Identifying the major political and social moments of this progression provide the necessary re-examination of law and history that will help to dissolve the laws that still inhibit gender equality today. </w:t>
      </w:r>
    </w:p>
    <w:p w14:paraId="2E2C652C" w14:textId="39152330" w:rsidR="00635006" w:rsidRPr="00635006" w:rsidRDefault="00260412" w:rsidP="00635006">
      <w:pPr>
        <w:spacing w:line="480" w:lineRule="auto"/>
        <w:ind w:firstLine="720"/>
        <w:rPr>
          <w:rFonts w:ascii="Times New Roman" w:hAnsi="Times New Roman" w:cs="Times New Roman"/>
        </w:rPr>
      </w:pPr>
      <w:r>
        <w:rPr>
          <w:rFonts w:ascii="Times New Roman" w:hAnsi="Times New Roman" w:cs="Times New Roman"/>
        </w:rPr>
        <w:t>In this paper,</w:t>
      </w:r>
      <w:r w:rsidR="00635006" w:rsidRPr="00635006">
        <w:rPr>
          <w:rFonts w:ascii="Times New Roman" w:hAnsi="Times New Roman" w:cs="Times New Roman"/>
        </w:rPr>
        <w:t xml:space="preserve"> multiple aspects of the p</w:t>
      </w:r>
      <w:r>
        <w:rPr>
          <w:rFonts w:ascii="Times New Roman" w:hAnsi="Times New Roman" w:cs="Times New Roman"/>
        </w:rPr>
        <w:t>rogression of women will be examined</w:t>
      </w:r>
      <w:r w:rsidR="00635006" w:rsidRPr="00635006">
        <w:rPr>
          <w:rFonts w:ascii="Times New Roman" w:hAnsi="Times New Roman" w:cs="Times New Roman"/>
        </w:rPr>
        <w:t>, beginning with the origins of American law. We first</w:t>
      </w:r>
      <w:r w:rsidR="00C81615">
        <w:rPr>
          <w:rFonts w:ascii="Times New Roman" w:hAnsi="Times New Roman" w:cs="Times New Roman"/>
        </w:rPr>
        <w:t xml:space="preserve"> examine British common l</w:t>
      </w:r>
      <w:r w:rsidR="00635006" w:rsidRPr="00635006">
        <w:rPr>
          <w:rFonts w:ascii="Times New Roman" w:hAnsi="Times New Roman" w:cs="Times New Roman"/>
        </w:rPr>
        <w:t>aw and the manner in which it was integrated into the various colonies. The theories that created the foundation f</w:t>
      </w:r>
      <w:r w:rsidR="007553FB">
        <w:rPr>
          <w:rFonts w:ascii="Times New Roman" w:hAnsi="Times New Roman" w:cs="Times New Roman"/>
        </w:rPr>
        <w:t>or the female role in American s</w:t>
      </w:r>
      <w:r w:rsidR="00635006" w:rsidRPr="00635006">
        <w:rPr>
          <w:rFonts w:ascii="Times New Roman" w:hAnsi="Times New Roman" w:cs="Times New Roman"/>
        </w:rPr>
        <w:t xml:space="preserve">ociety, such as coverture, had poignant implications for the legal structure that followed. These concepts, though seemingly archaic, were vehemently defended in court decisions for decades. Throughout history, we see women slowly begin to combat these oppressive laws, though this struggle was significantly more complicated than is often understood. Each period examined in this paper includes a number of significant historical events, powerful individuals, and innovative decisions that ultimately forged new paths in the realm of women’s rights. </w:t>
      </w:r>
    </w:p>
    <w:p w14:paraId="78320F90" w14:textId="36E7CD66" w:rsid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 xml:space="preserve">Examining this progression is also vitally important because it remains an ongoing process. In identifying key elements of the origins of the role of women in American law, it is evident that those origins can still be </w:t>
      </w:r>
      <w:r w:rsidR="00260412">
        <w:rPr>
          <w:rFonts w:ascii="Times New Roman" w:hAnsi="Times New Roman" w:cs="Times New Roman"/>
        </w:rPr>
        <w:t>found in modern legislation</w:t>
      </w:r>
      <w:r w:rsidRPr="00635006">
        <w:rPr>
          <w:rFonts w:ascii="Times New Roman" w:hAnsi="Times New Roman" w:cs="Times New Roman"/>
        </w:rPr>
        <w:t xml:space="preserve">. </w:t>
      </w:r>
      <w:r w:rsidR="00260412">
        <w:rPr>
          <w:rFonts w:ascii="Times New Roman" w:hAnsi="Times New Roman" w:cs="Times New Roman"/>
        </w:rPr>
        <w:t>Finally,</w:t>
      </w:r>
      <w:r w:rsidRPr="00635006">
        <w:rPr>
          <w:rFonts w:ascii="Times New Roman" w:hAnsi="Times New Roman" w:cs="Times New Roman"/>
        </w:rPr>
        <w:t xml:space="preserve"> an examination of how those foundations, despite a significant amount of </w:t>
      </w:r>
      <w:r w:rsidRPr="00635006">
        <w:rPr>
          <w:rFonts w:ascii="Times New Roman" w:hAnsi="Times New Roman" w:cs="Times New Roman"/>
        </w:rPr>
        <w:lastRenderedPageBreak/>
        <w:t>progress, still inform the legal status of women in this country</w:t>
      </w:r>
      <w:r w:rsidR="00260412">
        <w:rPr>
          <w:rFonts w:ascii="Times New Roman" w:hAnsi="Times New Roman" w:cs="Times New Roman"/>
        </w:rPr>
        <w:t xml:space="preserve"> will be undertaken</w:t>
      </w:r>
      <w:r w:rsidRPr="00635006">
        <w:rPr>
          <w:rFonts w:ascii="Times New Roman" w:hAnsi="Times New Roman" w:cs="Times New Roman"/>
        </w:rPr>
        <w:t xml:space="preserve">. Given the connection between social realities and legislation as established by this discussion, these persisting ideals ultimately serve to prevent women from achieving </w:t>
      </w:r>
      <w:r w:rsidR="00260412">
        <w:rPr>
          <w:rFonts w:ascii="Times New Roman" w:hAnsi="Times New Roman" w:cs="Times New Roman"/>
        </w:rPr>
        <w:t xml:space="preserve">true equality. </w:t>
      </w:r>
    </w:p>
    <w:p w14:paraId="1EA45DB8" w14:textId="513A03F8" w:rsidR="00635006" w:rsidRPr="00635006" w:rsidRDefault="00635006" w:rsidP="00260412">
      <w:pPr>
        <w:spacing w:line="480" w:lineRule="auto"/>
        <w:jc w:val="center"/>
        <w:rPr>
          <w:rFonts w:ascii="Times New Roman" w:hAnsi="Times New Roman" w:cs="Times New Roman"/>
        </w:rPr>
      </w:pPr>
      <w:r w:rsidRPr="00635006">
        <w:rPr>
          <w:rFonts w:ascii="Times New Roman" w:hAnsi="Times New Roman" w:cs="Times New Roman"/>
        </w:rPr>
        <w:t>Common Law</w:t>
      </w:r>
    </w:p>
    <w:p w14:paraId="22AC1D7C" w14:textId="0B29B338" w:rsidR="00635006" w:rsidRPr="00635006" w:rsidRDefault="00635006" w:rsidP="00260412">
      <w:pPr>
        <w:spacing w:line="480" w:lineRule="auto"/>
        <w:ind w:firstLine="720"/>
        <w:rPr>
          <w:rFonts w:ascii="Times New Roman" w:hAnsi="Times New Roman" w:cs="Times New Roman"/>
        </w:rPr>
      </w:pPr>
      <w:r w:rsidRPr="00635006">
        <w:rPr>
          <w:rFonts w:ascii="Times New Roman" w:hAnsi="Times New Roman" w:cs="Times New Roman"/>
        </w:rPr>
        <w:t xml:space="preserve">In order to effectively examine the progression of women in law, it is imperative to first examine the foundation of law in America. The origins of the American legal system are deeply rooted </w:t>
      </w:r>
      <w:r w:rsidR="00DD13B6">
        <w:rPr>
          <w:rFonts w:ascii="Times New Roman" w:hAnsi="Times New Roman" w:cs="Times New Roman"/>
        </w:rPr>
        <w:t>in English Law (Salmon, 1986</w:t>
      </w:r>
      <w:r w:rsidRPr="00635006">
        <w:rPr>
          <w:rFonts w:ascii="Times New Roman" w:hAnsi="Times New Roman" w:cs="Times New Roman"/>
        </w:rPr>
        <w:t>). There was a wide range of diverse laws in England including the “law of the crown, law of parliament, law of nature… of which the common law of England was just one” (</w:t>
      </w:r>
      <w:proofErr w:type="spellStart"/>
      <w:r w:rsidRPr="00635006">
        <w:rPr>
          <w:rFonts w:ascii="Times New Roman" w:hAnsi="Times New Roman" w:cs="Times New Roman"/>
        </w:rPr>
        <w:t>Stoebuck</w:t>
      </w:r>
      <w:proofErr w:type="spellEnd"/>
      <w:r w:rsidRPr="00635006">
        <w:rPr>
          <w:rFonts w:ascii="Times New Roman" w:hAnsi="Times New Roman" w:cs="Times New Roman"/>
        </w:rPr>
        <w:t>, 1968, p. 397)</w:t>
      </w:r>
      <w:r w:rsidR="00260412">
        <w:rPr>
          <w:rFonts w:ascii="Times New Roman" w:hAnsi="Times New Roman" w:cs="Times New Roman"/>
        </w:rPr>
        <w:t>.</w:t>
      </w:r>
      <w:r w:rsidRPr="00635006">
        <w:rPr>
          <w:rFonts w:ascii="Times New Roman" w:hAnsi="Times New Roman" w:cs="Times New Roman"/>
        </w:rPr>
        <w:t xml:space="preserve"> </w:t>
      </w:r>
      <w:r w:rsidR="00260412">
        <w:rPr>
          <w:rFonts w:ascii="Times New Roman" w:hAnsi="Times New Roman" w:cs="Times New Roman"/>
        </w:rPr>
        <w:t>C</w:t>
      </w:r>
      <w:r w:rsidRPr="00635006">
        <w:rPr>
          <w:rFonts w:ascii="Times New Roman" w:hAnsi="Times New Roman" w:cs="Times New Roman"/>
        </w:rPr>
        <w:t>ommon law specifically refers to “that body of governing principles, mainly substantive, expounded by the common law courts of England” (</w:t>
      </w:r>
      <w:proofErr w:type="spellStart"/>
      <w:r w:rsidRPr="00635006">
        <w:rPr>
          <w:rFonts w:ascii="Times New Roman" w:hAnsi="Times New Roman" w:cs="Times New Roman"/>
        </w:rPr>
        <w:t>Stoebuck</w:t>
      </w:r>
      <w:proofErr w:type="spellEnd"/>
      <w:r w:rsidRPr="00635006">
        <w:rPr>
          <w:rFonts w:ascii="Times New Roman" w:hAnsi="Times New Roman" w:cs="Times New Roman"/>
        </w:rPr>
        <w:t xml:space="preserve">, 1968, p. 383). That being said, there is a significant amount of debate as to the extent to which colonies adopted what was truly common law. </w:t>
      </w:r>
    </w:p>
    <w:p w14:paraId="3FF3D605" w14:textId="78B075A4" w:rsidR="00635006" w:rsidRP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Upon the construction of the thirteen original colonies, the need for just laws was acknowledged immediately, but a unified adoption of English law was nev</w:t>
      </w:r>
      <w:r w:rsidR="00D324FD">
        <w:rPr>
          <w:rFonts w:ascii="Times New Roman" w:hAnsi="Times New Roman" w:cs="Times New Roman"/>
        </w:rPr>
        <w:t>er an expectation (Salmon, 1986</w:t>
      </w:r>
      <w:r w:rsidRPr="00635006">
        <w:rPr>
          <w:rFonts w:ascii="Times New Roman" w:hAnsi="Times New Roman" w:cs="Times New Roman"/>
        </w:rPr>
        <w:t>). The most renowned theory on adoption of common law is attributed to Justice Joseph Story, who wrote:</w:t>
      </w:r>
    </w:p>
    <w:p w14:paraId="08664B98" w14:textId="477D96C5" w:rsidR="00635006" w:rsidRPr="00635006" w:rsidRDefault="00635006" w:rsidP="00635006">
      <w:pPr>
        <w:spacing w:line="480" w:lineRule="auto"/>
        <w:ind w:left="720" w:right="720"/>
        <w:rPr>
          <w:rFonts w:ascii="Times New Roman" w:hAnsi="Times New Roman" w:cs="Times New Roman"/>
        </w:rPr>
      </w:pPr>
      <w:r w:rsidRPr="00635006">
        <w:rPr>
          <w:rFonts w:ascii="Times New Roman" w:hAnsi="Times New Roman" w:cs="Times New Roman"/>
        </w:rPr>
        <w:t>The common law of England is not to be taken in all respects to be that of America. Our ancestors brought with them its general principles, and claimed it as their birthright; but they brought with them and adopted only that portion that was applicable to their sit</w:t>
      </w:r>
      <w:r w:rsidR="00260412">
        <w:rPr>
          <w:rFonts w:ascii="Times New Roman" w:hAnsi="Times New Roman" w:cs="Times New Roman"/>
        </w:rPr>
        <w:t>uation. (</w:t>
      </w:r>
      <w:proofErr w:type="spellStart"/>
      <w:r w:rsidR="00260412">
        <w:rPr>
          <w:rFonts w:ascii="Times New Roman" w:hAnsi="Times New Roman" w:cs="Times New Roman"/>
        </w:rPr>
        <w:t>Stoebuck</w:t>
      </w:r>
      <w:proofErr w:type="spellEnd"/>
      <w:r w:rsidR="00260412">
        <w:rPr>
          <w:rFonts w:ascii="Times New Roman" w:hAnsi="Times New Roman" w:cs="Times New Roman"/>
        </w:rPr>
        <w:t>, 1968, p. 383)</w:t>
      </w:r>
      <w:r w:rsidRPr="00635006">
        <w:rPr>
          <w:rFonts w:ascii="Times New Roman" w:hAnsi="Times New Roman" w:cs="Times New Roman"/>
        </w:rPr>
        <w:t xml:space="preserve"> </w:t>
      </w:r>
    </w:p>
    <w:p w14:paraId="576ECE86" w14:textId="46122D4F" w:rsidR="00635006" w:rsidRP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 xml:space="preserve">The idea of adopting only portions of common law is echoed by law professor and author, George Haskins, who summarizes the inclusion of common law by saying “the </w:t>
      </w:r>
      <w:r w:rsidRPr="00635006">
        <w:rPr>
          <w:rFonts w:ascii="Times New Roman" w:hAnsi="Times New Roman" w:cs="Times New Roman"/>
        </w:rPr>
        <w:lastRenderedPageBreak/>
        <w:t>conditions of settlement and of development within each colony meant that each evolved its own individual legal system</w:t>
      </w:r>
      <w:r w:rsidR="00260412" w:rsidRPr="00260412">
        <w:rPr>
          <w:rFonts w:ascii="Times New Roman" w:hAnsi="Times New Roman" w:cs="Times New Roman"/>
        </w:rPr>
        <w:t>,</w:t>
      </w:r>
      <w:r w:rsidR="00260412">
        <w:rPr>
          <w:rFonts w:ascii="Times New Roman" w:hAnsi="Times New Roman" w:cs="Times New Roman"/>
        </w:rPr>
        <w:t xml:space="preserve"> </w:t>
      </w:r>
      <w:r w:rsidRPr="00635006">
        <w:rPr>
          <w:rFonts w:ascii="Times New Roman" w:hAnsi="Times New Roman" w:cs="Times New Roman"/>
        </w:rPr>
        <w:t>just as each evolved its individual social and political system” (Salmon, 1986, p.</w:t>
      </w:r>
      <w:r w:rsidR="00BD14E9">
        <w:rPr>
          <w:rFonts w:ascii="Times New Roman" w:hAnsi="Times New Roman" w:cs="Times New Roman"/>
        </w:rPr>
        <w:t xml:space="preserve"> </w:t>
      </w:r>
      <w:r w:rsidRPr="00635006">
        <w:rPr>
          <w:rFonts w:ascii="Times New Roman" w:hAnsi="Times New Roman" w:cs="Times New Roman"/>
        </w:rPr>
        <w:t xml:space="preserve">4). </w:t>
      </w:r>
    </w:p>
    <w:p w14:paraId="50F5CF62" w14:textId="4B1DE8F2" w:rsidR="00635006" w:rsidRP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The colonies were free to consider their unique demographic, cultural, and economic needs when incorporating the tradition of Brit</w:t>
      </w:r>
      <w:r w:rsidR="00DD13B6">
        <w:rPr>
          <w:rFonts w:ascii="Times New Roman" w:hAnsi="Times New Roman" w:cs="Times New Roman"/>
        </w:rPr>
        <w:t>ish common law (Salmon, 1986)</w:t>
      </w:r>
      <w:r w:rsidRPr="00635006">
        <w:rPr>
          <w:rFonts w:ascii="Times New Roman" w:hAnsi="Times New Roman" w:cs="Times New Roman"/>
        </w:rPr>
        <w:t xml:space="preserve">. Though it is difficult to summarize the many individual adaptations, in general, </w:t>
      </w:r>
      <w:r w:rsidR="00C81615">
        <w:rPr>
          <w:rFonts w:ascii="Times New Roman" w:hAnsi="Times New Roman" w:cs="Times New Roman"/>
        </w:rPr>
        <w:t>the southern colonies followed common l</w:t>
      </w:r>
      <w:r w:rsidRPr="00635006">
        <w:rPr>
          <w:rFonts w:ascii="Times New Roman" w:hAnsi="Times New Roman" w:cs="Times New Roman"/>
        </w:rPr>
        <w:t>aw more closely due to, among other things, a lack of “an ideological commitment to change” (Salmon, 1986, p.</w:t>
      </w:r>
      <w:r w:rsidR="00BD14E9">
        <w:rPr>
          <w:rFonts w:ascii="Times New Roman" w:hAnsi="Times New Roman" w:cs="Times New Roman"/>
        </w:rPr>
        <w:t xml:space="preserve"> </w:t>
      </w:r>
      <w:r w:rsidRPr="00635006">
        <w:rPr>
          <w:rFonts w:ascii="Times New Roman" w:hAnsi="Times New Roman" w:cs="Times New Roman"/>
        </w:rPr>
        <w:t>10). In the northern colonies, Massachusetts in particular, there was less of a sense of obligation to adhere to the common law standard (</w:t>
      </w:r>
      <w:proofErr w:type="spellStart"/>
      <w:r w:rsidRPr="00635006">
        <w:rPr>
          <w:rFonts w:ascii="Times New Roman" w:hAnsi="Times New Roman" w:cs="Times New Roman"/>
        </w:rPr>
        <w:t>Stoebuck</w:t>
      </w:r>
      <w:proofErr w:type="spellEnd"/>
      <w:r w:rsidRPr="00635006">
        <w:rPr>
          <w:rFonts w:ascii="Times New Roman" w:hAnsi="Times New Roman" w:cs="Times New Roman"/>
        </w:rPr>
        <w:t xml:space="preserve">, 1968). </w:t>
      </w:r>
    </w:p>
    <w:p w14:paraId="0121C13D" w14:textId="0FC7E5A9" w:rsidR="00635006" w:rsidRP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In establishing their individual legal systems, the ultimate goal of the colonies was to seek “social stability above all else</w:t>
      </w:r>
      <w:r w:rsidR="007553FB">
        <w:rPr>
          <w:rFonts w:ascii="Times New Roman" w:hAnsi="Times New Roman" w:cs="Times New Roman"/>
        </w:rPr>
        <w:t>,”</w:t>
      </w:r>
      <w:r w:rsidRPr="00635006">
        <w:rPr>
          <w:rFonts w:ascii="Times New Roman" w:hAnsi="Times New Roman" w:cs="Times New Roman"/>
        </w:rPr>
        <w:t xml:space="preserve"> which made laws regarding women and their role in society of vital importance (Salmon, 1986, p. 13).  Colonies began constructing social realities for women with legal parameters of marriage. Though there were many variations of the adoption of common law, the laws constructed involving marriage were closely in line with concepts derived in common law ac</w:t>
      </w:r>
      <w:r w:rsidR="00D324FD">
        <w:rPr>
          <w:rFonts w:ascii="Times New Roman" w:hAnsi="Times New Roman" w:cs="Times New Roman"/>
        </w:rPr>
        <w:t>ross the colonies (Salmon, 1986</w:t>
      </w:r>
      <w:r w:rsidRPr="00635006">
        <w:rPr>
          <w:rFonts w:ascii="Times New Roman" w:hAnsi="Times New Roman" w:cs="Times New Roman"/>
        </w:rPr>
        <w:t xml:space="preserve">). </w:t>
      </w:r>
    </w:p>
    <w:p w14:paraId="06FF0473" w14:textId="16E270D5" w:rsidR="00635006" w:rsidRPr="00635006" w:rsidRDefault="00260412" w:rsidP="00635006">
      <w:pPr>
        <w:spacing w:line="480" w:lineRule="auto"/>
        <w:ind w:firstLine="720"/>
        <w:rPr>
          <w:rFonts w:ascii="Times New Roman" w:hAnsi="Times New Roman" w:cs="Times New Roman"/>
        </w:rPr>
      </w:pPr>
      <w:r>
        <w:rPr>
          <w:rFonts w:ascii="Times New Roman" w:hAnsi="Times New Roman" w:cs="Times New Roman"/>
        </w:rPr>
        <w:t>In many ways, the colonies</w:t>
      </w:r>
      <w:r w:rsidR="00635006" w:rsidRPr="00635006">
        <w:rPr>
          <w:rFonts w:ascii="Times New Roman" w:hAnsi="Times New Roman" w:cs="Times New Roman"/>
        </w:rPr>
        <w:t xml:space="preserve"> clung to </w:t>
      </w:r>
      <w:r w:rsidR="00C81615">
        <w:rPr>
          <w:rFonts w:ascii="Times New Roman" w:hAnsi="Times New Roman" w:cs="Times New Roman"/>
        </w:rPr>
        <w:t>common l</w:t>
      </w:r>
      <w:r w:rsidR="00635006" w:rsidRPr="00635006">
        <w:rPr>
          <w:rFonts w:ascii="Times New Roman" w:hAnsi="Times New Roman" w:cs="Times New Roman"/>
        </w:rPr>
        <w:t>aw in establishing the legal framework of marriage in America</w:t>
      </w:r>
      <w:r w:rsidR="00635006" w:rsidRPr="00635F76">
        <w:rPr>
          <w:rFonts w:ascii="Times New Roman" w:hAnsi="Times New Roman" w:cs="Times New Roman"/>
        </w:rPr>
        <w:t xml:space="preserve">. The harsh realities of living in colonial America “necessitated reliance on protective strategies for wives…” </w:t>
      </w:r>
      <w:proofErr w:type="gramStart"/>
      <w:r w:rsidR="00635006" w:rsidRPr="00635F76">
        <w:rPr>
          <w:rFonts w:ascii="Times New Roman" w:hAnsi="Times New Roman" w:cs="Times New Roman"/>
        </w:rPr>
        <w:t>(Salmon, 1986, p.</w:t>
      </w:r>
      <w:r w:rsidR="00BD14E9" w:rsidRPr="00635F76">
        <w:rPr>
          <w:rFonts w:ascii="Times New Roman" w:hAnsi="Times New Roman" w:cs="Times New Roman"/>
        </w:rPr>
        <w:t xml:space="preserve"> </w:t>
      </w:r>
      <w:r w:rsidR="00635006" w:rsidRPr="00635F76">
        <w:rPr>
          <w:rFonts w:ascii="Times New Roman" w:hAnsi="Times New Roman" w:cs="Times New Roman"/>
        </w:rPr>
        <w:t>11).</w:t>
      </w:r>
      <w:proofErr w:type="gramEnd"/>
      <w:r w:rsidR="00635006" w:rsidRPr="00635006">
        <w:rPr>
          <w:rFonts w:ascii="Times New Roman" w:hAnsi="Times New Roman" w:cs="Times New Roman"/>
        </w:rPr>
        <w:t xml:space="preserve"> This concept of protection informed laws regarding women ranging from property rights to civil duties. “Her position was essentially that accorded by the common law, the fundamental thesis being the almost complete subordination of her person and property to her husband” (Salmon, 1986, p. 13). Interestingly, much of a woman’s legal inferiority </w:t>
      </w:r>
      <w:r w:rsidR="00635006" w:rsidRPr="00635006">
        <w:rPr>
          <w:rFonts w:ascii="Times New Roman" w:hAnsi="Times New Roman" w:cs="Times New Roman"/>
        </w:rPr>
        <w:lastRenderedPageBreak/>
        <w:t xml:space="preserve">did not come into play until she was married. “At common law, unmarried females were subject to oppressive sexually discriminatory rules of law principally in the public sphere… In the areas of contracts and property, however, single women enjoyed almost equal status with single males…When single women married, however, these rights were lost or </w:t>
      </w:r>
      <w:r w:rsidR="005D1F05">
        <w:rPr>
          <w:rFonts w:ascii="Times New Roman" w:hAnsi="Times New Roman" w:cs="Times New Roman"/>
        </w:rPr>
        <w:t>suspended” (Kanowitz, 1969, p. 35</w:t>
      </w:r>
      <w:r w:rsidR="00635006" w:rsidRPr="00635006">
        <w:rPr>
          <w:rFonts w:ascii="Times New Roman" w:hAnsi="Times New Roman" w:cs="Times New Roman"/>
        </w:rPr>
        <w:t xml:space="preserve">). </w:t>
      </w:r>
    </w:p>
    <w:p w14:paraId="01658BEC" w14:textId="77777777" w:rsidR="0030284A" w:rsidRDefault="009E6E14" w:rsidP="0030284A">
      <w:pPr>
        <w:spacing w:line="480" w:lineRule="auto"/>
        <w:rPr>
          <w:rFonts w:ascii="Times New Roman" w:hAnsi="Times New Roman" w:cs="Times New Roman"/>
        </w:rPr>
      </w:pPr>
      <w:r>
        <w:rPr>
          <w:rFonts w:ascii="Times New Roman" w:hAnsi="Times New Roman" w:cs="Times New Roman"/>
        </w:rPr>
        <w:tab/>
        <w:t xml:space="preserve">Though common law was applied uniquely across the different colonies, it played a vital role in the foundations of the American legal system. </w:t>
      </w:r>
      <w:r w:rsidR="005D1F05">
        <w:rPr>
          <w:rFonts w:ascii="Times New Roman" w:hAnsi="Times New Roman" w:cs="Times New Roman"/>
        </w:rPr>
        <w:t xml:space="preserve">These foundations established and formally solidified women’s place in this new society, which </w:t>
      </w:r>
      <w:r w:rsidR="000948A0">
        <w:rPr>
          <w:rFonts w:ascii="Times New Roman" w:hAnsi="Times New Roman" w:cs="Times New Roman"/>
        </w:rPr>
        <w:t xml:space="preserve">remained the standard for decades to follow. </w:t>
      </w:r>
    </w:p>
    <w:p w14:paraId="27454A4A" w14:textId="2FB59049" w:rsidR="00635006" w:rsidRPr="00635006" w:rsidRDefault="00635006" w:rsidP="0030284A">
      <w:pPr>
        <w:spacing w:line="480" w:lineRule="auto"/>
        <w:jc w:val="center"/>
        <w:rPr>
          <w:rFonts w:ascii="Times New Roman" w:hAnsi="Times New Roman" w:cs="Times New Roman"/>
        </w:rPr>
      </w:pPr>
      <w:r w:rsidRPr="00635006">
        <w:rPr>
          <w:rFonts w:ascii="Times New Roman" w:hAnsi="Times New Roman" w:cs="Times New Roman"/>
        </w:rPr>
        <w:t>Coverture: Blackstone’s Legacy in the Colonies</w:t>
      </w:r>
    </w:p>
    <w:p w14:paraId="283FB1B8" w14:textId="7F9455B2" w:rsidR="00635006" w:rsidRPr="00635006" w:rsidRDefault="00635006" w:rsidP="00635006">
      <w:pPr>
        <w:spacing w:line="480" w:lineRule="auto"/>
        <w:ind w:firstLine="360"/>
        <w:rPr>
          <w:rFonts w:ascii="Times New Roman" w:hAnsi="Times New Roman" w:cs="Times New Roman"/>
        </w:rPr>
      </w:pPr>
      <w:r w:rsidRPr="00635006">
        <w:rPr>
          <w:rFonts w:ascii="Times New Roman" w:hAnsi="Times New Roman" w:cs="Times New Roman"/>
        </w:rPr>
        <w:t xml:space="preserve">One of the many concepts </w:t>
      </w:r>
      <w:r w:rsidR="00C81615">
        <w:rPr>
          <w:rFonts w:ascii="Times New Roman" w:hAnsi="Times New Roman" w:cs="Times New Roman"/>
        </w:rPr>
        <w:t>evident in the adopted British common l</w:t>
      </w:r>
      <w:r w:rsidRPr="00635006">
        <w:rPr>
          <w:rFonts w:ascii="Times New Roman" w:hAnsi="Times New Roman" w:cs="Times New Roman"/>
        </w:rPr>
        <w:t xml:space="preserve">aw used by the American colonies was that of coverture. More specifically, Sir William Blackstone in his commentaries of the Laws of England in the </w:t>
      </w:r>
      <w:r w:rsidR="005340C4">
        <w:rPr>
          <w:rFonts w:ascii="Times New Roman" w:hAnsi="Times New Roman" w:cs="Times New Roman"/>
        </w:rPr>
        <w:t>seventeenth</w:t>
      </w:r>
      <w:r w:rsidRPr="00635006">
        <w:rPr>
          <w:rFonts w:ascii="Times New Roman" w:hAnsi="Times New Roman" w:cs="Times New Roman"/>
        </w:rPr>
        <w:t xml:space="preserve"> century</w:t>
      </w:r>
      <w:r w:rsidR="0030284A">
        <w:rPr>
          <w:rFonts w:ascii="Times New Roman" w:hAnsi="Times New Roman" w:cs="Times New Roman"/>
        </w:rPr>
        <w:t>,</w:t>
      </w:r>
      <w:r w:rsidRPr="00635006">
        <w:rPr>
          <w:rFonts w:ascii="Times New Roman" w:hAnsi="Times New Roman" w:cs="Times New Roman"/>
        </w:rPr>
        <w:t xml:space="preserve"> described coverture and unity of a person in such a way that influenced generations of English and </w:t>
      </w:r>
      <w:r w:rsidR="00DD13B6">
        <w:rPr>
          <w:rFonts w:ascii="Times New Roman" w:hAnsi="Times New Roman" w:cs="Times New Roman"/>
        </w:rPr>
        <w:t>American law (Stretton, 2009</w:t>
      </w:r>
      <w:r w:rsidRPr="00635006">
        <w:rPr>
          <w:rFonts w:ascii="Times New Roman" w:hAnsi="Times New Roman" w:cs="Times New Roman"/>
        </w:rPr>
        <w:t xml:space="preserve">). Blackstone believed that subservient women </w:t>
      </w:r>
      <w:r>
        <w:rPr>
          <w:rFonts w:ascii="Times New Roman" w:hAnsi="Times New Roman" w:cs="Times New Roman"/>
        </w:rPr>
        <w:t xml:space="preserve">were a necessary component for </w:t>
      </w:r>
      <w:r w:rsidRPr="00635006">
        <w:rPr>
          <w:rFonts w:ascii="Times New Roman" w:hAnsi="Times New Roman" w:cs="Times New Roman"/>
        </w:rPr>
        <w:t>“ordering civil society” (Stretton, 2009,</w:t>
      </w:r>
      <w:r w:rsidR="0030284A">
        <w:rPr>
          <w:rFonts w:ascii="Times New Roman" w:hAnsi="Times New Roman" w:cs="Times New Roman"/>
        </w:rPr>
        <w:t xml:space="preserve"> p.</w:t>
      </w:r>
      <w:r w:rsidR="00BD14E9">
        <w:rPr>
          <w:rFonts w:ascii="Times New Roman" w:hAnsi="Times New Roman" w:cs="Times New Roman"/>
        </w:rPr>
        <w:t xml:space="preserve"> </w:t>
      </w:r>
      <w:r w:rsidR="0030284A">
        <w:rPr>
          <w:rFonts w:ascii="Times New Roman" w:hAnsi="Times New Roman" w:cs="Times New Roman"/>
        </w:rPr>
        <w:t xml:space="preserve">122). Leaning heavily on </w:t>
      </w:r>
      <w:r w:rsidRPr="00635006">
        <w:rPr>
          <w:rFonts w:ascii="Times New Roman" w:hAnsi="Times New Roman" w:cs="Times New Roman"/>
        </w:rPr>
        <w:t>Genesis 2:22-23, which states, “And Adam said, this is now bone of my bones, and flesh of my flesh; she shall be called Woman, because she was taken out of man. Therefore shall a man leave his father and his mother, and shall cleave unto his wife and they shall be one flesh</w:t>
      </w:r>
      <w:r w:rsidR="007553FB">
        <w:rPr>
          <w:rFonts w:ascii="Times New Roman" w:hAnsi="Times New Roman" w:cs="Times New Roman"/>
        </w:rPr>
        <w:t>,”</w:t>
      </w:r>
      <w:r w:rsidRPr="00635006">
        <w:rPr>
          <w:rFonts w:ascii="Times New Roman" w:hAnsi="Times New Roman" w:cs="Times New Roman"/>
        </w:rPr>
        <w:t xml:space="preserve"> Blackstone constructed the foundation of what would become the legal reality o</w:t>
      </w:r>
      <w:r w:rsidR="00D326A3">
        <w:rPr>
          <w:rFonts w:ascii="Times New Roman" w:hAnsi="Times New Roman" w:cs="Times New Roman"/>
        </w:rPr>
        <w:t>f women for centuries (Kanowitz</w:t>
      </w:r>
      <w:r w:rsidRPr="00635006">
        <w:rPr>
          <w:rFonts w:ascii="Times New Roman" w:hAnsi="Times New Roman" w:cs="Times New Roman"/>
        </w:rPr>
        <w:t>, 1973</w:t>
      </w:r>
      <w:r w:rsidR="009E6E14">
        <w:rPr>
          <w:rFonts w:ascii="Times New Roman" w:hAnsi="Times New Roman" w:cs="Times New Roman"/>
        </w:rPr>
        <w:t xml:space="preserve"> p. 63</w:t>
      </w:r>
      <w:r w:rsidRPr="00635006">
        <w:rPr>
          <w:rFonts w:ascii="Times New Roman" w:hAnsi="Times New Roman" w:cs="Times New Roman"/>
        </w:rPr>
        <w:t>). In the fourth book of his com</w:t>
      </w:r>
      <w:r w:rsidR="0030284A">
        <w:rPr>
          <w:rFonts w:ascii="Times New Roman" w:hAnsi="Times New Roman" w:cs="Times New Roman"/>
        </w:rPr>
        <w:t>mentaries Blackstone established</w:t>
      </w:r>
      <w:r w:rsidRPr="00635006">
        <w:rPr>
          <w:rFonts w:ascii="Times New Roman" w:hAnsi="Times New Roman" w:cs="Times New Roman"/>
        </w:rPr>
        <w:t xml:space="preserve"> coverture as:</w:t>
      </w:r>
    </w:p>
    <w:p w14:paraId="2E91AC3C" w14:textId="06EAC8F9" w:rsidR="00635006" w:rsidRPr="00635006" w:rsidRDefault="00635006" w:rsidP="00635006">
      <w:pPr>
        <w:spacing w:line="480" w:lineRule="auto"/>
        <w:ind w:left="720" w:right="720"/>
        <w:rPr>
          <w:rFonts w:ascii="Times New Roman" w:hAnsi="Times New Roman" w:cs="Times New Roman"/>
        </w:rPr>
      </w:pPr>
      <w:r w:rsidRPr="00635006">
        <w:rPr>
          <w:rFonts w:ascii="Times New Roman" w:hAnsi="Times New Roman" w:cs="Times New Roman"/>
        </w:rPr>
        <w:lastRenderedPageBreak/>
        <w:t>By marriage, the husband and wife are one person in law, that is, the very being or legal existence of the woman is suspended during the marriage, or at least is incorporated and consolidated into that of the husband; under whose wing, protection, and cover, she performs everything; and is therefore called on in our law-</w:t>
      </w:r>
      <w:proofErr w:type="spellStart"/>
      <w:r w:rsidRPr="00635006">
        <w:rPr>
          <w:rFonts w:ascii="Times New Roman" w:hAnsi="Times New Roman" w:cs="Times New Roman"/>
        </w:rPr>
        <w:t>french</w:t>
      </w:r>
      <w:proofErr w:type="spellEnd"/>
      <w:r w:rsidRPr="00635006">
        <w:rPr>
          <w:rFonts w:ascii="Times New Roman" w:hAnsi="Times New Roman" w:cs="Times New Roman"/>
        </w:rPr>
        <w:t xml:space="preserve"> a femme covert…upon this principle of a union of person in husband and wife, depend almost all the legal rights, duties, and disabilities, that either </w:t>
      </w:r>
      <w:r>
        <w:rPr>
          <w:rFonts w:ascii="Times New Roman" w:hAnsi="Times New Roman" w:cs="Times New Roman"/>
        </w:rPr>
        <w:t>of them acquire by marriage</w:t>
      </w:r>
      <w:r w:rsidR="0030284A">
        <w:rPr>
          <w:rFonts w:ascii="Times New Roman" w:hAnsi="Times New Roman" w:cs="Times New Roman"/>
        </w:rPr>
        <w:t>. (</w:t>
      </w:r>
      <w:proofErr w:type="spellStart"/>
      <w:r w:rsidR="0030284A">
        <w:rPr>
          <w:rFonts w:ascii="Times New Roman" w:hAnsi="Times New Roman" w:cs="Times New Roman"/>
        </w:rPr>
        <w:t>Warbasse</w:t>
      </w:r>
      <w:proofErr w:type="spellEnd"/>
      <w:r w:rsidR="0030284A">
        <w:rPr>
          <w:rFonts w:ascii="Times New Roman" w:hAnsi="Times New Roman" w:cs="Times New Roman"/>
        </w:rPr>
        <w:t>, 1987, p. 6)</w:t>
      </w:r>
      <w:r w:rsidRPr="00635006">
        <w:rPr>
          <w:rFonts w:ascii="Times New Roman" w:hAnsi="Times New Roman" w:cs="Times New Roman"/>
        </w:rPr>
        <w:t xml:space="preserve"> </w:t>
      </w:r>
    </w:p>
    <w:p w14:paraId="25894776" w14:textId="032A3107" w:rsidR="00635006" w:rsidRPr="00635006" w:rsidRDefault="0030284A" w:rsidP="00635006">
      <w:pPr>
        <w:spacing w:line="480" w:lineRule="auto"/>
        <w:ind w:firstLine="360"/>
        <w:rPr>
          <w:rFonts w:ascii="Times New Roman" w:hAnsi="Times New Roman" w:cs="Times New Roman"/>
        </w:rPr>
      </w:pPr>
      <w:r>
        <w:rPr>
          <w:rFonts w:ascii="Times New Roman" w:hAnsi="Times New Roman" w:cs="Times New Roman"/>
        </w:rPr>
        <w:t>This doctrine had</w:t>
      </w:r>
      <w:r w:rsidR="00635006" w:rsidRPr="00635006">
        <w:rPr>
          <w:rFonts w:ascii="Times New Roman" w:hAnsi="Times New Roman" w:cs="Times New Roman"/>
        </w:rPr>
        <w:t xml:space="preserve"> implications</w:t>
      </w:r>
      <w:r>
        <w:rPr>
          <w:rFonts w:ascii="Times New Roman" w:hAnsi="Times New Roman" w:cs="Times New Roman"/>
        </w:rPr>
        <w:t xml:space="preserve"> larger</w:t>
      </w:r>
      <w:r w:rsidR="00635006" w:rsidRPr="00635006">
        <w:rPr>
          <w:rFonts w:ascii="Times New Roman" w:hAnsi="Times New Roman" w:cs="Times New Roman"/>
        </w:rPr>
        <w:t xml:space="preserve"> than mere legal inferiority. It </w:t>
      </w:r>
      <w:r>
        <w:rPr>
          <w:rFonts w:ascii="Times New Roman" w:hAnsi="Times New Roman" w:cs="Times New Roman"/>
        </w:rPr>
        <w:t xml:space="preserve">held </w:t>
      </w:r>
      <w:r w:rsidR="00635006" w:rsidRPr="00635006">
        <w:rPr>
          <w:rFonts w:ascii="Times New Roman" w:hAnsi="Times New Roman" w:cs="Times New Roman"/>
        </w:rPr>
        <w:t xml:space="preserve">that </w:t>
      </w:r>
      <w:r>
        <w:rPr>
          <w:rFonts w:ascii="Times New Roman" w:hAnsi="Times New Roman" w:cs="Times New Roman"/>
        </w:rPr>
        <w:t>“</w:t>
      </w:r>
      <w:r w:rsidR="00635006" w:rsidRPr="00635006">
        <w:rPr>
          <w:rFonts w:ascii="Times New Roman" w:hAnsi="Times New Roman" w:cs="Times New Roman"/>
        </w:rPr>
        <w:t>the husband and wife were but one person possessing but one will and that that will resided in the mind of the husband as the person fittest and ablest to provide for and govern the family” (Stretton, 2009, p.</w:t>
      </w:r>
      <w:r>
        <w:rPr>
          <w:rFonts w:ascii="Times New Roman" w:hAnsi="Times New Roman" w:cs="Times New Roman"/>
        </w:rPr>
        <w:t xml:space="preserve"> </w:t>
      </w:r>
      <w:r w:rsidR="00635006" w:rsidRPr="00635006">
        <w:rPr>
          <w:rFonts w:ascii="Times New Roman" w:hAnsi="Times New Roman" w:cs="Times New Roman"/>
        </w:rPr>
        <w:t xml:space="preserve">112). In essence, coverture asserted that women lacked independent wills from their husbands, and therefore required no legal status at all (Stretton, 2009). </w:t>
      </w:r>
    </w:p>
    <w:p w14:paraId="1E874AE8" w14:textId="7DFB61F3" w:rsidR="00635006" w:rsidRPr="00635006" w:rsidRDefault="00635006" w:rsidP="00635006">
      <w:pPr>
        <w:spacing w:line="480" w:lineRule="auto"/>
        <w:ind w:firstLine="360"/>
        <w:rPr>
          <w:rFonts w:ascii="Times New Roman" w:hAnsi="Times New Roman" w:cs="Times New Roman"/>
        </w:rPr>
      </w:pPr>
      <w:r w:rsidRPr="00635006">
        <w:rPr>
          <w:rFonts w:ascii="Times New Roman" w:hAnsi="Times New Roman" w:cs="Times New Roman"/>
        </w:rPr>
        <w:t>Another conceptual consequence of Blackstone’s writings was the adoption of “unity of a person”</w:t>
      </w:r>
      <w:r w:rsidR="0030284A">
        <w:rPr>
          <w:rFonts w:ascii="Times New Roman" w:hAnsi="Times New Roman" w:cs="Times New Roman"/>
        </w:rPr>
        <w:t xml:space="preserve"> (Stretton, 2009, p. 113)</w:t>
      </w:r>
      <w:r w:rsidRPr="00635006">
        <w:rPr>
          <w:rFonts w:ascii="Times New Roman" w:hAnsi="Times New Roman" w:cs="Times New Roman"/>
        </w:rPr>
        <w:t>. The idea that the man and wife were actually one person had never been combined with coverture before Blackstone’s comm</w:t>
      </w:r>
      <w:r w:rsidR="0030284A">
        <w:rPr>
          <w:rFonts w:ascii="Times New Roman" w:hAnsi="Times New Roman" w:cs="Times New Roman"/>
        </w:rPr>
        <w:t>entaries (Stretton, 2009</w:t>
      </w:r>
      <w:r w:rsidRPr="00635006">
        <w:rPr>
          <w:rFonts w:ascii="Times New Roman" w:hAnsi="Times New Roman" w:cs="Times New Roman"/>
        </w:rPr>
        <w:t>). Blackstone suggested that these ideas “amounted to the key underlying principle behind married women’s status, rights, and obligations at common law” (Stretton, 2009, p.</w:t>
      </w:r>
      <w:r w:rsidR="0030284A">
        <w:rPr>
          <w:rFonts w:ascii="Times New Roman" w:hAnsi="Times New Roman" w:cs="Times New Roman"/>
        </w:rPr>
        <w:t xml:space="preserve"> 119). These two now connected notions</w:t>
      </w:r>
      <w:r w:rsidRPr="00635006">
        <w:rPr>
          <w:rFonts w:ascii="Times New Roman" w:hAnsi="Times New Roman" w:cs="Times New Roman"/>
        </w:rPr>
        <w:t xml:space="preserve"> cemented women’s inferiority in the newly constructed American legal system.</w:t>
      </w:r>
    </w:p>
    <w:p w14:paraId="4751579F" w14:textId="1F7B0FBE" w:rsidR="00635006" w:rsidRPr="00635006" w:rsidRDefault="00635006" w:rsidP="00635006">
      <w:pPr>
        <w:spacing w:line="480" w:lineRule="auto"/>
        <w:ind w:firstLine="360"/>
        <w:rPr>
          <w:rFonts w:ascii="Times New Roman" w:hAnsi="Times New Roman" w:cs="Times New Roman"/>
        </w:rPr>
      </w:pPr>
      <w:r w:rsidRPr="00635006">
        <w:rPr>
          <w:rFonts w:ascii="Times New Roman" w:hAnsi="Times New Roman" w:cs="Times New Roman"/>
        </w:rPr>
        <w:t xml:space="preserve">One of several real-world implications of Blackstone’s ideas was manifested in the law that women could not, due to their lack of legal existence, convey property. Upon </w:t>
      </w:r>
      <w:r w:rsidRPr="00635006">
        <w:rPr>
          <w:rFonts w:ascii="Times New Roman" w:hAnsi="Times New Roman" w:cs="Times New Roman"/>
        </w:rPr>
        <w:lastRenderedPageBreak/>
        <w:t>marriage, “all a woman’s possessions went to her husband; he could dispose of them any way he wished during his lifetime or by will afterwards” (</w:t>
      </w:r>
      <w:proofErr w:type="spellStart"/>
      <w:r w:rsidRPr="00635006">
        <w:rPr>
          <w:rFonts w:ascii="Times New Roman" w:hAnsi="Times New Roman" w:cs="Times New Roman"/>
        </w:rPr>
        <w:t>Warbasse</w:t>
      </w:r>
      <w:proofErr w:type="spellEnd"/>
      <w:r w:rsidRPr="00635006">
        <w:rPr>
          <w:rFonts w:ascii="Times New Roman" w:hAnsi="Times New Roman" w:cs="Times New Roman"/>
        </w:rPr>
        <w:t>, 1987, p. 7). This concept varied greatly among the colonies, and many states eventually added provisions under which women could convey property</w:t>
      </w:r>
      <w:r w:rsidR="0030284A">
        <w:rPr>
          <w:rFonts w:ascii="Times New Roman" w:hAnsi="Times New Roman" w:cs="Times New Roman"/>
        </w:rPr>
        <w:t xml:space="preserve"> </w:t>
      </w:r>
      <w:r w:rsidR="0030284A" w:rsidRPr="00635006">
        <w:rPr>
          <w:rFonts w:ascii="Times New Roman" w:hAnsi="Times New Roman" w:cs="Times New Roman"/>
        </w:rPr>
        <w:t>in some circumstances</w:t>
      </w:r>
      <w:r w:rsidRPr="00635006">
        <w:rPr>
          <w:rFonts w:ascii="Times New Roman" w:hAnsi="Times New Roman" w:cs="Times New Roman"/>
        </w:rPr>
        <w:t xml:space="preserve"> using The Married Women’s Property Act of 1839 (</w:t>
      </w:r>
      <w:proofErr w:type="spellStart"/>
      <w:r w:rsidRPr="00635006">
        <w:rPr>
          <w:rFonts w:ascii="Times New Roman" w:hAnsi="Times New Roman" w:cs="Times New Roman"/>
        </w:rPr>
        <w:t>Warbasse</w:t>
      </w:r>
      <w:proofErr w:type="spellEnd"/>
      <w:r w:rsidRPr="00635006">
        <w:rPr>
          <w:rFonts w:ascii="Times New Roman" w:hAnsi="Times New Roman" w:cs="Times New Roman"/>
        </w:rPr>
        <w:t>, 1987). In the early stages, however, this restriction was overwhelming. “The fact that the law even found it necessary to guarantee her clothes, ornaments, and bedding shows how absolutely the husband controlled his wife’s personal property” (</w:t>
      </w:r>
      <w:proofErr w:type="spellStart"/>
      <w:r w:rsidRPr="00635006">
        <w:rPr>
          <w:rFonts w:ascii="Times New Roman" w:hAnsi="Times New Roman" w:cs="Times New Roman"/>
        </w:rPr>
        <w:t>Warbasse</w:t>
      </w:r>
      <w:proofErr w:type="spellEnd"/>
      <w:r w:rsidRPr="00635006">
        <w:rPr>
          <w:rFonts w:ascii="Times New Roman" w:hAnsi="Times New Roman" w:cs="Times New Roman"/>
        </w:rPr>
        <w:t>, 1987, p.</w:t>
      </w:r>
      <w:r w:rsidR="00BD14E9">
        <w:rPr>
          <w:rFonts w:ascii="Times New Roman" w:hAnsi="Times New Roman" w:cs="Times New Roman"/>
        </w:rPr>
        <w:t xml:space="preserve"> </w:t>
      </w:r>
      <w:r w:rsidRPr="00635006">
        <w:rPr>
          <w:rFonts w:ascii="Times New Roman" w:hAnsi="Times New Roman" w:cs="Times New Roman"/>
        </w:rPr>
        <w:t>13).</w:t>
      </w:r>
    </w:p>
    <w:p w14:paraId="169B4CD6" w14:textId="0D7E3B8B" w:rsidR="00635006" w:rsidRDefault="00635006" w:rsidP="00635006">
      <w:pPr>
        <w:spacing w:line="480" w:lineRule="auto"/>
        <w:ind w:firstLine="360"/>
        <w:rPr>
          <w:rFonts w:ascii="Times New Roman" w:hAnsi="Times New Roman" w:cs="Times New Roman"/>
        </w:rPr>
      </w:pPr>
      <w:r w:rsidRPr="00635006">
        <w:rPr>
          <w:rFonts w:ascii="Times New Roman" w:hAnsi="Times New Roman" w:cs="Times New Roman"/>
        </w:rPr>
        <w:t xml:space="preserve">Married women were also deprived of the ability to execute a valid legal contract. This </w:t>
      </w:r>
      <w:r w:rsidR="0030284A">
        <w:rPr>
          <w:rFonts w:ascii="Times New Roman" w:hAnsi="Times New Roman" w:cs="Times New Roman"/>
        </w:rPr>
        <w:t xml:space="preserve">occurred </w:t>
      </w:r>
      <w:r w:rsidRPr="00635006">
        <w:rPr>
          <w:rFonts w:ascii="Times New Roman" w:hAnsi="Times New Roman" w:cs="Times New Roman"/>
        </w:rPr>
        <w:t>for multiple reasons, the first of which was a woman’s lack of personal property. No agreement, it was argued, “could be enforced against her because she owned nothing a court could seize” (Salmon, 1986, p. 41). A lack of contracting abilit</w:t>
      </w:r>
      <w:r w:rsidR="0030284A">
        <w:rPr>
          <w:rFonts w:ascii="Times New Roman" w:hAnsi="Times New Roman" w:cs="Times New Roman"/>
        </w:rPr>
        <w:t>y</w:t>
      </w:r>
      <w:r w:rsidRPr="00635006">
        <w:rPr>
          <w:rFonts w:ascii="Times New Roman" w:hAnsi="Times New Roman" w:cs="Times New Roman"/>
        </w:rPr>
        <w:t xml:space="preserve"> extended to services a woman could provide. </w:t>
      </w:r>
      <w:r w:rsidR="0030284A">
        <w:rPr>
          <w:rFonts w:ascii="Times New Roman" w:hAnsi="Times New Roman" w:cs="Times New Roman"/>
        </w:rPr>
        <w:t>Such contracts were</w:t>
      </w:r>
      <w:r w:rsidRPr="00635006">
        <w:rPr>
          <w:rFonts w:ascii="Times New Roman" w:hAnsi="Times New Roman" w:cs="Times New Roman"/>
        </w:rPr>
        <w:t xml:space="preserve"> also believed to be unenforceable because “according to common law rules, a woman’s services belonged to her husband. They could not be given to another unless he consented” (Salmon, 1986, p. 41). </w:t>
      </w:r>
    </w:p>
    <w:p w14:paraId="5EDF7645" w14:textId="4CC4588A" w:rsidR="00635006" w:rsidRPr="00635006" w:rsidRDefault="00635006" w:rsidP="00635006">
      <w:pPr>
        <w:spacing w:line="480" w:lineRule="auto"/>
        <w:ind w:firstLine="360"/>
        <w:rPr>
          <w:rFonts w:ascii="Times New Roman" w:hAnsi="Times New Roman" w:cs="Times New Roman"/>
        </w:rPr>
      </w:pPr>
      <w:r w:rsidRPr="00635006">
        <w:rPr>
          <w:rFonts w:ascii="Times New Roman" w:hAnsi="Times New Roman" w:cs="Times New Roman"/>
        </w:rPr>
        <w:t>Unity of a person was used in contract law to further restrict women. It was established that “a man can not grant anything to his wife or enter into covenant with her for the grant would be to suppose her separate existence; and to covenant with her would only be to covenant with himself</w:t>
      </w:r>
      <w:r w:rsidR="00D324FD">
        <w:rPr>
          <w:rFonts w:ascii="Times New Roman" w:hAnsi="Times New Roman" w:cs="Times New Roman"/>
        </w:rPr>
        <w:t>”</w:t>
      </w:r>
      <w:r w:rsidRPr="00635006">
        <w:rPr>
          <w:rFonts w:ascii="Times New Roman" w:hAnsi="Times New Roman" w:cs="Times New Roman"/>
        </w:rPr>
        <w:t xml:space="preserve"> (Salmon, 1986, p. 41). It was also widely believed that women were naturally more impressionable, as they lacked their own individual will, and therefore would likely be coerced into contracts because “they are in the power of their husbands” (Salmon, 1986, p. 42). </w:t>
      </w:r>
    </w:p>
    <w:p w14:paraId="3DC92EAD" w14:textId="428AD84C" w:rsidR="00635006" w:rsidRPr="00635006" w:rsidRDefault="00635006" w:rsidP="00635006">
      <w:pPr>
        <w:spacing w:line="480" w:lineRule="auto"/>
        <w:ind w:firstLine="360"/>
        <w:rPr>
          <w:rFonts w:ascii="Times New Roman" w:hAnsi="Times New Roman" w:cs="Times New Roman"/>
        </w:rPr>
      </w:pPr>
      <w:r w:rsidRPr="00635006">
        <w:rPr>
          <w:rFonts w:ascii="Times New Roman" w:hAnsi="Times New Roman" w:cs="Times New Roman"/>
        </w:rPr>
        <w:lastRenderedPageBreak/>
        <w:t>In addition to these contractual restrictions, women, in line with Blackstone’s ideals, were not able to prosecute or be prosecuted in the court of law. “Though a married woman was theoretically liable for the injuries she inflicted in this manner, that liability was of limited significance since the law contributed her miscond</w:t>
      </w:r>
      <w:r w:rsidR="000948A0">
        <w:rPr>
          <w:rFonts w:ascii="Times New Roman" w:hAnsi="Times New Roman" w:cs="Times New Roman"/>
        </w:rPr>
        <w:t xml:space="preserve">uct to her husband” (Kanowitz, </w:t>
      </w:r>
      <w:r w:rsidRPr="00635006">
        <w:rPr>
          <w:rFonts w:ascii="Times New Roman" w:hAnsi="Times New Roman" w:cs="Times New Roman"/>
        </w:rPr>
        <w:t>1969, p. 75). This inequality was reinforced by the con</w:t>
      </w:r>
      <w:r w:rsidR="0030284A">
        <w:rPr>
          <w:rFonts w:ascii="Times New Roman" w:hAnsi="Times New Roman" w:cs="Times New Roman"/>
        </w:rPr>
        <w:t>cept of male marital privilege:</w:t>
      </w:r>
      <w:r w:rsidRPr="00635006">
        <w:rPr>
          <w:rFonts w:ascii="Times New Roman" w:hAnsi="Times New Roman" w:cs="Times New Roman"/>
        </w:rPr>
        <w:t xml:space="preserve"> </w:t>
      </w:r>
    </w:p>
    <w:p w14:paraId="6A10751E" w14:textId="5CBD3CA2" w:rsidR="00635006" w:rsidRPr="00635006" w:rsidRDefault="00635006" w:rsidP="00635006">
      <w:pPr>
        <w:spacing w:line="480" w:lineRule="auto"/>
        <w:ind w:left="360" w:right="720" w:firstLine="60"/>
        <w:rPr>
          <w:rFonts w:ascii="Times New Roman" w:hAnsi="Times New Roman" w:cs="Times New Roman"/>
        </w:rPr>
      </w:pPr>
      <w:r w:rsidRPr="00635006">
        <w:rPr>
          <w:rFonts w:ascii="Times New Roman" w:hAnsi="Times New Roman" w:cs="Times New Roman"/>
        </w:rPr>
        <w:t>If women could be imprisoned their husbands would be denied sexual and household services. The right of a husband to the person of his wife is a right guarded by the law with the utmost solicitude; if she could bind herself by contracts, she would be liable to be arrested, taken in execution, and confined to a prison; and then the husband would be depr</w:t>
      </w:r>
      <w:r>
        <w:rPr>
          <w:rFonts w:ascii="Times New Roman" w:hAnsi="Times New Roman" w:cs="Times New Roman"/>
        </w:rPr>
        <w:t>ived of the company of his wife</w:t>
      </w:r>
      <w:r w:rsidR="0030284A">
        <w:rPr>
          <w:rFonts w:ascii="Times New Roman" w:hAnsi="Times New Roman" w:cs="Times New Roman"/>
        </w:rPr>
        <w:t>. (Salmon, 1986, p. 42)</w:t>
      </w:r>
      <w:r w:rsidRPr="00635006">
        <w:rPr>
          <w:rFonts w:ascii="Times New Roman" w:hAnsi="Times New Roman" w:cs="Times New Roman"/>
        </w:rPr>
        <w:t xml:space="preserve"> </w:t>
      </w:r>
    </w:p>
    <w:p w14:paraId="1469EAAD" w14:textId="77777777" w:rsidR="00635006" w:rsidRPr="00635006" w:rsidRDefault="00635006" w:rsidP="00635006">
      <w:pPr>
        <w:spacing w:line="480" w:lineRule="auto"/>
        <w:rPr>
          <w:rFonts w:ascii="Times New Roman" w:hAnsi="Times New Roman" w:cs="Times New Roman"/>
        </w:rPr>
      </w:pPr>
      <w:r w:rsidRPr="00635006">
        <w:rPr>
          <w:rFonts w:ascii="Times New Roman" w:hAnsi="Times New Roman" w:cs="Times New Roman"/>
        </w:rPr>
        <w:t>This concept, and the legal ramifications that followed, had a lasting impact on legislation that continues to have consequences today.</w:t>
      </w:r>
    </w:p>
    <w:p w14:paraId="3E5C9C1B" w14:textId="72C30636" w:rsidR="00635006" w:rsidRP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 xml:space="preserve">The wife was also not permitted to act as </w:t>
      </w:r>
      <w:r w:rsidR="0030284A">
        <w:rPr>
          <w:rFonts w:ascii="Times New Roman" w:hAnsi="Times New Roman" w:cs="Times New Roman"/>
        </w:rPr>
        <w:t>the administrator</w:t>
      </w:r>
      <w:r w:rsidRPr="00635006">
        <w:rPr>
          <w:rFonts w:ascii="Times New Roman" w:hAnsi="Times New Roman" w:cs="Times New Roman"/>
        </w:rPr>
        <w:t xml:space="preserve"> of estates nor as legal guardians (</w:t>
      </w:r>
      <w:proofErr w:type="spellStart"/>
      <w:r w:rsidRPr="00635006">
        <w:rPr>
          <w:rFonts w:ascii="Times New Roman" w:hAnsi="Times New Roman" w:cs="Times New Roman"/>
        </w:rPr>
        <w:t>Warbasse</w:t>
      </w:r>
      <w:proofErr w:type="spellEnd"/>
      <w:r w:rsidRPr="00635006">
        <w:rPr>
          <w:rFonts w:ascii="Times New Roman" w:hAnsi="Times New Roman" w:cs="Times New Roman"/>
        </w:rPr>
        <w:t>, 1987). This further restricted women’s place in society by placing men in charge of the domain that had been assigned as especially female, the home (</w:t>
      </w:r>
      <w:proofErr w:type="spellStart"/>
      <w:r w:rsidRPr="00635006">
        <w:rPr>
          <w:rFonts w:ascii="Times New Roman" w:hAnsi="Times New Roman" w:cs="Times New Roman"/>
        </w:rPr>
        <w:t>Warbasse</w:t>
      </w:r>
      <w:proofErr w:type="spellEnd"/>
      <w:r w:rsidRPr="00635006">
        <w:rPr>
          <w:rFonts w:ascii="Times New Roman" w:hAnsi="Times New Roman" w:cs="Times New Roman"/>
        </w:rPr>
        <w:t>, 1987). The wife was also, as an extension of these principles, expected to act as an “agent of her husband” (Salmon, 1986, p. 53). Given that this concept could allot women a certain level of freedom, the agency was limited into what was deemed as “reasonable” wifely activities (Sa</w:t>
      </w:r>
      <w:r w:rsidR="0030284A">
        <w:rPr>
          <w:rFonts w:ascii="Times New Roman" w:hAnsi="Times New Roman" w:cs="Times New Roman"/>
        </w:rPr>
        <w:t>lmon, 1986, p. 53). For example,</w:t>
      </w:r>
      <w:r w:rsidRPr="00635006">
        <w:rPr>
          <w:rFonts w:ascii="Times New Roman" w:hAnsi="Times New Roman" w:cs="Times New Roman"/>
        </w:rPr>
        <w:t xml:space="preserve"> </w:t>
      </w:r>
    </w:p>
    <w:p w14:paraId="01DD8690" w14:textId="28988C36" w:rsidR="00635006" w:rsidRPr="00635006" w:rsidRDefault="00635006" w:rsidP="00635006">
      <w:pPr>
        <w:spacing w:line="480" w:lineRule="auto"/>
        <w:ind w:left="720" w:right="720"/>
        <w:rPr>
          <w:rFonts w:ascii="Times New Roman" w:hAnsi="Times New Roman" w:cs="Times New Roman"/>
        </w:rPr>
      </w:pPr>
      <w:r w:rsidRPr="00635006">
        <w:rPr>
          <w:rFonts w:ascii="Times New Roman" w:hAnsi="Times New Roman" w:cs="Times New Roman"/>
        </w:rPr>
        <w:t xml:space="preserve">If a wife should purchase at a merchant’s store such articles as wives in her rank in life usually purchase, the husband ought to be bound; for it is a </w:t>
      </w:r>
      <w:r w:rsidRPr="00635006">
        <w:rPr>
          <w:rFonts w:ascii="Times New Roman" w:hAnsi="Times New Roman" w:cs="Times New Roman"/>
        </w:rPr>
        <w:lastRenderedPageBreak/>
        <w:t xml:space="preserve">fair presumption that she was authorized by her husband to do so. If however she were to purchase a ship of yoke or oxen, no such presumption would arise, for wives do not </w:t>
      </w:r>
      <w:r>
        <w:rPr>
          <w:rFonts w:ascii="Times New Roman" w:hAnsi="Times New Roman" w:cs="Times New Roman"/>
        </w:rPr>
        <w:t>usually purchase ships or oxen</w:t>
      </w:r>
      <w:r w:rsidR="0030284A">
        <w:rPr>
          <w:rFonts w:ascii="Times New Roman" w:hAnsi="Times New Roman" w:cs="Times New Roman"/>
        </w:rPr>
        <w:t>. (Salmon, 1986, p. 53)</w:t>
      </w:r>
      <w:r w:rsidRPr="00635006">
        <w:rPr>
          <w:rFonts w:ascii="Times New Roman" w:hAnsi="Times New Roman" w:cs="Times New Roman"/>
        </w:rPr>
        <w:t xml:space="preserve"> </w:t>
      </w:r>
    </w:p>
    <w:p w14:paraId="2A7FF21E" w14:textId="6AA9A652" w:rsidR="00635006" w:rsidRP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These restrictions on women were seen as defendable for a number of reasons, one of which is that the restrictions were balanced by the obligations that a husband had to his wife (Salmon, 1986). These obligations included the responsibility of the husband to “maintain and treat his wife well</w:t>
      </w:r>
      <w:r w:rsidR="007553FB">
        <w:rPr>
          <w:rFonts w:ascii="Times New Roman" w:hAnsi="Times New Roman" w:cs="Times New Roman"/>
        </w:rPr>
        <w:t>,” “pay all her incurred debts,”</w:t>
      </w:r>
      <w:r w:rsidRPr="00635006">
        <w:rPr>
          <w:rFonts w:ascii="Times New Roman" w:hAnsi="Times New Roman" w:cs="Times New Roman"/>
        </w:rPr>
        <w:t xml:space="preserve"> provide her with the “necessaries” for life, accept liability for her in the court of law, and act as “the natural protector of her children” (Salmon, 1986, p. 53). In these obligations, Blackstone believed that wives, under coverture, received “the ultimate expression of Common Law’s benevolent paternalism” and </w:t>
      </w:r>
      <w:proofErr w:type="gramStart"/>
      <w:r w:rsidRPr="00635006">
        <w:rPr>
          <w:rFonts w:ascii="Times New Roman" w:hAnsi="Times New Roman" w:cs="Times New Roman"/>
        </w:rPr>
        <w:t>were</w:t>
      </w:r>
      <w:proofErr w:type="gramEnd"/>
      <w:r w:rsidRPr="00635006">
        <w:rPr>
          <w:rFonts w:ascii="Times New Roman" w:hAnsi="Times New Roman" w:cs="Times New Roman"/>
        </w:rPr>
        <w:t xml:space="preserve">, therefore, able to “bask in the glow of the liberty in privileges of their free born husbands” (Stretton, 2009, p. 124). </w:t>
      </w:r>
    </w:p>
    <w:p w14:paraId="09783E66" w14:textId="5A87E8EB" w:rsidR="00635006" w:rsidRP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In addition to the obligations of a husband, it was widely accepted that “married women consented to their modified legal status when they agreed to marry” (Strett</w:t>
      </w:r>
      <w:r w:rsidR="00756498">
        <w:rPr>
          <w:rFonts w:ascii="Times New Roman" w:hAnsi="Times New Roman" w:cs="Times New Roman"/>
        </w:rPr>
        <w:t>on, 2009, p. 123). This was</w:t>
      </w:r>
      <w:r w:rsidRPr="00635006">
        <w:rPr>
          <w:rFonts w:ascii="Times New Roman" w:hAnsi="Times New Roman" w:cs="Times New Roman"/>
        </w:rPr>
        <w:t xml:space="preserve"> used in support of the legal inferiority of women, though it was also believed that “the married state is the only proper </w:t>
      </w:r>
      <w:r w:rsidR="000948A0">
        <w:rPr>
          <w:rFonts w:ascii="Times New Roman" w:hAnsi="Times New Roman" w:cs="Times New Roman"/>
        </w:rPr>
        <w:t xml:space="preserve">goal of womanhood” (Kanowitz, </w:t>
      </w:r>
      <w:r w:rsidRPr="00635006">
        <w:rPr>
          <w:rFonts w:ascii="Times New Roman" w:hAnsi="Times New Roman" w:cs="Times New Roman"/>
        </w:rPr>
        <w:t>1973, p. 11). These ideals conflicted with one another, arguing that women had the power to choose a more civilly active life if they choose to remain unmarried, when socially that was not cons</w:t>
      </w:r>
      <w:r w:rsidR="000948A0">
        <w:rPr>
          <w:rFonts w:ascii="Times New Roman" w:hAnsi="Times New Roman" w:cs="Times New Roman"/>
        </w:rPr>
        <w:t xml:space="preserve">idered acceptable (Kanowitz, </w:t>
      </w:r>
      <w:r w:rsidRPr="00635006">
        <w:rPr>
          <w:rFonts w:ascii="Times New Roman" w:hAnsi="Times New Roman" w:cs="Times New Roman"/>
        </w:rPr>
        <w:t xml:space="preserve">1973). </w:t>
      </w:r>
    </w:p>
    <w:p w14:paraId="64FE7CD5" w14:textId="0AF91EA8" w:rsidR="00635006" w:rsidRPr="00635006" w:rsidRDefault="00635006" w:rsidP="00635006">
      <w:pPr>
        <w:spacing w:line="480" w:lineRule="auto"/>
        <w:ind w:firstLine="720"/>
        <w:rPr>
          <w:rFonts w:ascii="Times New Roman" w:hAnsi="Times New Roman" w:cs="Times New Roman"/>
        </w:rPr>
      </w:pPr>
      <w:r w:rsidRPr="00635006">
        <w:rPr>
          <w:rFonts w:ascii="Times New Roman" w:hAnsi="Times New Roman" w:cs="Times New Roman"/>
        </w:rPr>
        <w:t xml:space="preserve">Considering </w:t>
      </w:r>
      <w:r w:rsidR="00756498">
        <w:rPr>
          <w:rFonts w:ascii="Times New Roman" w:hAnsi="Times New Roman" w:cs="Times New Roman"/>
        </w:rPr>
        <w:t xml:space="preserve">the societal standards of the </w:t>
      </w:r>
      <w:r w:rsidR="005340C4">
        <w:rPr>
          <w:rFonts w:ascii="Times New Roman" w:hAnsi="Times New Roman" w:cs="Times New Roman"/>
        </w:rPr>
        <w:t>eighteenth century</w:t>
      </w:r>
      <w:r w:rsidR="00756498">
        <w:rPr>
          <w:rFonts w:ascii="Times New Roman" w:hAnsi="Times New Roman" w:cs="Times New Roman"/>
        </w:rPr>
        <w:t xml:space="preserve">, and </w:t>
      </w:r>
      <w:r w:rsidRPr="00635006">
        <w:rPr>
          <w:rFonts w:ascii="Times New Roman" w:hAnsi="Times New Roman" w:cs="Times New Roman"/>
        </w:rPr>
        <w:t>the needs of the colonies in that setting, author and historian Marylynn Salmon attempts to evaluate</w:t>
      </w:r>
      <w:r w:rsidR="0030284A">
        <w:rPr>
          <w:rFonts w:ascii="Times New Roman" w:hAnsi="Times New Roman" w:cs="Times New Roman"/>
        </w:rPr>
        <w:t xml:space="preserve"> Blackstone’s theories in</w:t>
      </w:r>
      <w:r w:rsidR="000948A0">
        <w:rPr>
          <w:rFonts w:ascii="Times New Roman" w:hAnsi="Times New Roman" w:cs="Times New Roman"/>
        </w:rPr>
        <w:t xml:space="preserve"> stating</w:t>
      </w:r>
      <w:r w:rsidR="0030284A">
        <w:rPr>
          <w:rFonts w:ascii="Times New Roman" w:hAnsi="Times New Roman" w:cs="Times New Roman"/>
        </w:rPr>
        <w:t xml:space="preserve"> that</w:t>
      </w:r>
      <w:r w:rsidR="000948A0">
        <w:rPr>
          <w:rFonts w:ascii="Times New Roman" w:hAnsi="Times New Roman" w:cs="Times New Roman"/>
        </w:rPr>
        <w:t>:</w:t>
      </w:r>
    </w:p>
    <w:p w14:paraId="1207F6E9" w14:textId="73798D56" w:rsidR="00635006" w:rsidRPr="00635006" w:rsidRDefault="00635006" w:rsidP="00635006">
      <w:pPr>
        <w:spacing w:line="480" w:lineRule="auto"/>
        <w:ind w:left="720" w:right="720"/>
        <w:rPr>
          <w:rFonts w:ascii="Times New Roman" w:hAnsi="Times New Roman" w:cs="Times New Roman"/>
        </w:rPr>
      </w:pPr>
      <w:r w:rsidRPr="00635006">
        <w:rPr>
          <w:rFonts w:ascii="Times New Roman" w:hAnsi="Times New Roman" w:cs="Times New Roman"/>
        </w:rPr>
        <w:lastRenderedPageBreak/>
        <w:t>The law of husband and wife thus bound the interests of spouses closely together. Ideally the system should have worked. If men always acted wisely and fairly, the common law rules might have served everyone well enough. To say that they did not is only to state the obvious. Unity of a Person was based on the perfect marriage, and therefore it inevitably created hardships in marr</w:t>
      </w:r>
      <w:r>
        <w:rPr>
          <w:rFonts w:ascii="Times New Roman" w:hAnsi="Times New Roman" w:cs="Times New Roman"/>
        </w:rPr>
        <w:t>iages that were less than ideal</w:t>
      </w:r>
      <w:r w:rsidR="0030284A">
        <w:rPr>
          <w:rFonts w:ascii="Times New Roman" w:hAnsi="Times New Roman" w:cs="Times New Roman"/>
        </w:rPr>
        <w:t>. (1986, p. 53)</w:t>
      </w:r>
    </w:p>
    <w:p w14:paraId="209038D9" w14:textId="71D171B2" w:rsidR="00635006" w:rsidRPr="00635006" w:rsidRDefault="00635006" w:rsidP="0030284A">
      <w:pPr>
        <w:spacing w:line="480" w:lineRule="auto"/>
        <w:ind w:firstLine="720"/>
        <w:rPr>
          <w:rFonts w:ascii="Times New Roman" w:hAnsi="Times New Roman" w:cs="Times New Roman"/>
        </w:rPr>
      </w:pPr>
      <w:r w:rsidRPr="00635006">
        <w:rPr>
          <w:rFonts w:ascii="Times New Roman" w:hAnsi="Times New Roman" w:cs="Times New Roman"/>
        </w:rPr>
        <w:t xml:space="preserve">Though early America may have been an environment in which these concepts </w:t>
      </w:r>
      <w:r w:rsidR="0030284A">
        <w:rPr>
          <w:rFonts w:ascii="Times New Roman" w:hAnsi="Times New Roman" w:cs="Times New Roman"/>
        </w:rPr>
        <w:t>were not questioned</w:t>
      </w:r>
      <w:r w:rsidRPr="00635006">
        <w:rPr>
          <w:rFonts w:ascii="Times New Roman" w:hAnsi="Times New Roman" w:cs="Times New Roman"/>
        </w:rPr>
        <w:t>, the laws constructed in the shadow of Blackstone’s writings on coverture in marriage solidified fema</w:t>
      </w:r>
      <w:r>
        <w:rPr>
          <w:rFonts w:ascii="Times New Roman" w:hAnsi="Times New Roman" w:cs="Times New Roman"/>
        </w:rPr>
        <w:t>le inferiority for generations.</w:t>
      </w:r>
      <w:r w:rsidRPr="00635006">
        <w:rPr>
          <w:rFonts w:ascii="Times New Roman" w:hAnsi="Times New Roman" w:cs="Times New Roman"/>
        </w:rPr>
        <w:tab/>
      </w:r>
    </w:p>
    <w:p w14:paraId="57E1A7AF" w14:textId="77777777" w:rsidR="00635006" w:rsidRPr="003C15B0" w:rsidRDefault="00635006" w:rsidP="00635006">
      <w:pPr>
        <w:jc w:val="center"/>
        <w:rPr>
          <w:rFonts w:ascii="Times New Roman" w:hAnsi="Times New Roman" w:cs="Times New Roman"/>
        </w:rPr>
      </w:pPr>
      <w:r>
        <w:rPr>
          <w:rFonts w:ascii="Times New Roman" w:hAnsi="Times New Roman" w:cs="Times New Roman"/>
        </w:rPr>
        <w:t>The Constitution and Separate Spheres of Influence</w:t>
      </w:r>
    </w:p>
    <w:p w14:paraId="06EAD006" w14:textId="77777777" w:rsidR="00635006" w:rsidRPr="003C15B0" w:rsidRDefault="00635006" w:rsidP="00635006">
      <w:pPr>
        <w:jc w:val="center"/>
        <w:rPr>
          <w:rFonts w:ascii="Times New Roman" w:hAnsi="Times New Roman" w:cs="Times New Roman"/>
        </w:rPr>
      </w:pPr>
    </w:p>
    <w:p w14:paraId="793B3BC9" w14:textId="5D18D890" w:rsidR="00635006" w:rsidRPr="003C15B0" w:rsidRDefault="00635006" w:rsidP="00635006">
      <w:pPr>
        <w:spacing w:line="480" w:lineRule="auto"/>
        <w:rPr>
          <w:rFonts w:ascii="Times New Roman" w:hAnsi="Times New Roman" w:cs="Times New Roman"/>
        </w:rPr>
      </w:pPr>
      <w:r w:rsidRPr="003C15B0">
        <w:rPr>
          <w:rFonts w:ascii="Times New Roman" w:hAnsi="Times New Roman" w:cs="Times New Roman"/>
        </w:rPr>
        <w:tab/>
      </w:r>
      <w:r>
        <w:rPr>
          <w:rFonts w:ascii="Times New Roman" w:hAnsi="Times New Roman" w:cs="Times New Roman"/>
        </w:rPr>
        <w:t>As the new American system of government emerged, so did the opportunity to improve upon the status of women. C</w:t>
      </w:r>
      <w:r w:rsidRPr="003C15B0">
        <w:rPr>
          <w:rFonts w:ascii="Times New Roman" w:hAnsi="Times New Roman" w:cs="Times New Roman"/>
        </w:rPr>
        <w:t xml:space="preserve">olonists began drafting the Declaration of Independence, </w:t>
      </w:r>
      <w:r>
        <w:rPr>
          <w:rFonts w:ascii="Times New Roman" w:hAnsi="Times New Roman" w:cs="Times New Roman"/>
        </w:rPr>
        <w:t xml:space="preserve">and </w:t>
      </w:r>
      <w:r w:rsidRPr="003C15B0">
        <w:rPr>
          <w:rFonts w:ascii="Times New Roman" w:hAnsi="Times New Roman" w:cs="Times New Roman"/>
        </w:rPr>
        <w:t>women’s role in society was further solidified</w:t>
      </w:r>
      <w:r w:rsidR="00417AF3">
        <w:rPr>
          <w:rFonts w:ascii="Times New Roman" w:hAnsi="Times New Roman" w:cs="Times New Roman"/>
        </w:rPr>
        <w:t xml:space="preserve"> as</w:t>
      </w:r>
      <w:r>
        <w:rPr>
          <w:rFonts w:ascii="Times New Roman" w:hAnsi="Times New Roman" w:cs="Times New Roman"/>
        </w:rPr>
        <w:t xml:space="preserve"> second to men</w:t>
      </w:r>
      <w:r w:rsidRPr="003C15B0">
        <w:rPr>
          <w:rFonts w:ascii="Times New Roman" w:hAnsi="Times New Roman" w:cs="Times New Roman"/>
        </w:rPr>
        <w:t xml:space="preserve">. While the Founding Fathers were meeting to construct the Declaration, Abigail Adams wrote to her husband, John, </w:t>
      </w:r>
      <w:r w:rsidR="00417AF3">
        <w:rPr>
          <w:rFonts w:ascii="Times New Roman" w:hAnsi="Times New Roman" w:cs="Times New Roman"/>
        </w:rPr>
        <w:t xml:space="preserve">with </w:t>
      </w:r>
      <w:r w:rsidRPr="003C15B0">
        <w:rPr>
          <w:rFonts w:ascii="Times New Roman" w:hAnsi="Times New Roman" w:cs="Times New Roman"/>
        </w:rPr>
        <w:t>a plea to consider women when formalizing th</w:t>
      </w:r>
      <w:r w:rsidR="00D324FD">
        <w:rPr>
          <w:rFonts w:ascii="Times New Roman" w:hAnsi="Times New Roman" w:cs="Times New Roman"/>
        </w:rPr>
        <w:t>e document (Kuersten, 2003). She stated:</w:t>
      </w:r>
      <w:r w:rsidRPr="003C15B0">
        <w:rPr>
          <w:rFonts w:ascii="Times New Roman" w:hAnsi="Times New Roman" w:cs="Times New Roman"/>
        </w:rPr>
        <w:t xml:space="preserve"> </w:t>
      </w:r>
    </w:p>
    <w:p w14:paraId="70718467" w14:textId="36D3DEC6" w:rsidR="00635006" w:rsidRPr="003C15B0" w:rsidRDefault="00635006" w:rsidP="00635006">
      <w:pPr>
        <w:spacing w:line="480" w:lineRule="auto"/>
        <w:ind w:left="720" w:right="720"/>
        <w:rPr>
          <w:rFonts w:ascii="Times New Roman" w:hAnsi="Times New Roman" w:cs="Times New Roman"/>
        </w:rPr>
      </w:pPr>
      <w:r w:rsidRPr="003C15B0">
        <w:rPr>
          <w:rFonts w:ascii="Times New Roman" w:hAnsi="Times New Roman" w:cs="Times New Roman"/>
        </w:rPr>
        <w:t>I desire you would remember the ladies and be more generous and favorable to them than your ancestors. Do not put such unlimited power into the hands of husbands. Men of sense in all ages abhor those customs which treat us only as the [servants] of your sex; regard us then as being placed by Providence under your protection, and in imitation of the Supreme Being make use of that power only for our h</w:t>
      </w:r>
      <w:r w:rsidR="00417AF3">
        <w:rPr>
          <w:rFonts w:ascii="Times New Roman" w:hAnsi="Times New Roman" w:cs="Times New Roman"/>
        </w:rPr>
        <w:t>appiness. (Kuersten, 2003, p. 5)</w:t>
      </w:r>
    </w:p>
    <w:p w14:paraId="4DF16352" w14:textId="0973258F" w:rsidR="00635006" w:rsidRDefault="00635006" w:rsidP="00635006">
      <w:pPr>
        <w:spacing w:line="480" w:lineRule="auto"/>
        <w:rPr>
          <w:rFonts w:ascii="Times New Roman" w:hAnsi="Times New Roman" w:cs="Times New Roman"/>
        </w:rPr>
      </w:pPr>
      <w:r w:rsidRPr="003C15B0">
        <w:rPr>
          <w:rFonts w:ascii="Times New Roman" w:hAnsi="Times New Roman" w:cs="Times New Roman"/>
        </w:rPr>
        <w:lastRenderedPageBreak/>
        <w:t xml:space="preserve">Unfortunately, the </w:t>
      </w:r>
      <w:r w:rsidR="007553FB">
        <w:rPr>
          <w:rFonts w:ascii="Times New Roman" w:hAnsi="Times New Roman" w:cs="Times New Roman"/>
        </w:rPr>
        <w:t>founders</w:t>
      </w:r>
      <w:r w:rsidRPr="003C15B0">
        <w:rPr>
          <w:rFonts w:ascii="Times New Roman" w:hAnsi="Times New Roman" w:cs="Times New Roman"/>
        </w:rPr>
        <w:t xml:space="preserve"> did not take Abigail Adams’s request into consideration. Many of the most prominent figures in American history were in fact, vehemently against equality for women. Thomas Jefferson said “were our state a pure democracy…[women] would yet be excluded from deliberations… women, who, to prevent deprivation of morals and ambiguity of issues, should not mix promiscuously in the public meetings of men” (Kuersten, 2003, p. xv). </w:t>
      </w:r>
      <w:r>
        <w:rPr>
          <w:rFonts w:ascii="Times New Roman" w:hAnsi="Times New Roman" w:cs="Times New Roman"/>
        </w:rPr>
        <w:t xml:space="preserve">This idea is echoed in the Constitution, which also fails to address the inequality of women in society (Kuersten, 2003). </w:t>
      </w:r>
    </w:p>
    <w:p w14:paraId="407C1D07" w14:textId="35D5F8DC" w:rsidR="00635006" w:rsidRDefault="00635006" w:rsidP="00635006">
      <w:pPr>
        <w:spacing w:line="480" w:lineRule="auto"/>
        <w:rPr>
          <w:rFonts w:ascii="Times New Roman" w:hAnsi="Times New Roman" w:cs="Times New Roman"/>
        </w:rPr>
      </w:pPr>
      <w:r>
        <w:rPr>
          <w:rFonts w:ascii="Times New Roman" w:hAnsi="Times New Roman" w:cs="Times New Roman"/>
        </w:rPr>
        <w:tab/>
        <w:t xml:space="preserve">Many women saw the potential for progress in the passage of the Bill of Rights. The </w:t>
      </w:r>
      <w:r w:rsidR="005340C4">
        <w:rPr>
          <w:rFonts w:ascii="Times New Roman" w:hAnsi="Times New Roman" w:cs="Times New Roman"/>
        </w:rPr>
        <w:t>Fourteenth A</w:t>
      </w:r>
      <w:r>
        <w:rPr>
          <w:rFonts w:ascii="Times New Roman" w:hAnsi="Times New Roman" w:cs="Times New Roman"/>
        </w:rPr>
        <w:t xml:space="preserve">mendment held particular promise, and, as will be discussed later, was used in multiple cases to advocate for the equal rights of women. The amendment states: </w:t>
      </w:r>
    </w:p>
    <w:p w14:paraId="74726005" w14:textId="77777777" w:rsidR="00635006" w:rsidRDefault="00635006" w:rsidP="00635006">
      <w:pPr>
        <w:spacing w:line="480" w:lineRule="auto"/>
        <w:ind w:left="720" w:right="720"/>
        <w:rPr>
          <w:rFonts w:ascii="Times New Roman" w:hAnsi="Times New Roman" w:cs="Times New Roman"/>
        </w:rPr>
      </w:pPr>
      <w:r w:rsidRPr="00D16306">
        <w:rPr>
          <w:rFonts w:ascii="Times New Roman" w:hAnsi="Times New Roman" w:cs="Times New Roman"/>
        </w:rPr>
        <w:t>All persons born or naturalized in the United States, and subject to the jurisdiction thereof, are citizens of the United States and of the state wherein they reside. No state shall make or enforce any law</w:t>
      </w:r>
      <w:r>
        <w:rPr>
          <w:rFonts w:ascii="Times New Roman" w:hAnsi="Times New Roman" w:cs="Times New Roman"/>
        </w:rPr>
        <w:t>,</w:t>
      </w:r>
      <w:r w:rsidRPr="00D16306">
        <w:rPr>
          <w:rFonts w:ascii="Times New Roman" w:hAnsi="Times New Roman" w:cs="Times New Roman"/>
        </w:rPr>
        <w:t xml:space="preserve"> which shall abridge the privileges or immunities of citizens of the United States; nor shall any state deprive any person of life, liberty, or property, without due process of law; nor deny to any person within its jurisdiction the equal protection of the laws.</w:t>
      </w:r>
    </w:p>
    <w:p w14:paraId="74269E66" w14:textId="5171C29A" w:rsidR="00417AF3" w:rsidRDefault="00635006" w:rsidP="00417AF3">
      <w:pPr>
        <w:spacing w:line="480" w:lineRule="auto"/>
        <w:ind w:right="720"/>
        <w:rPr>
          <w:rFonts w:ascii="Times New Roman" w:hAnsi="Times New Roman" w:cs="Times New Roman"/>
        </w:rPr>
      </w:pPr>
      <w:r>
        <w:rPr>
          <w:rFonts w:ascii="Times New Roman" w:hAnsi="Times New Roman" w:cs="Times New Roman"/>
        </w:rPr>
        <w:t xml:space="preserve">Though this amendment does seem to hold promise for women of this time, guaranteeing that their privileges as citizens must remain intact, this was not immediately the case. The courts failed to interpret the </w:t>
      </w:r>
      <w:r w:rsidR="005340C4">
        <w:rPr>
          <w:rFonts w:ascii="Times New Roman" w:hAnsi="Times New Roman" w:cs="Times New Roman"/>
        </w:rPr>
        <w:t>Fourteenth A</w:t>
      </w:r>
      <w:r>
        <w:rPr>
          <w:rFonts w:ascii="Times New Roman" w:hAnsi="Times New Roman" w:cs="Times New Roman"/>
        </w:rPr>
        <w:t xml:space="preserve">mendment as a means to grant women equality in nearly every case during </w:t>
      </w:r>
      <w:r w:rsidR="00417AF3">
        <w:rPr>
          <w:rFonts w:ascii="Times New Roman" w:hAnsi="Times New Roman" w:cs="Times New Roman"/>
        </w:rPr>
        <w:t>the early 1800’s</w:t>
      </w:r>
      <w:r w:rsidR="00D324FD">
        <w:rPr>
          <w:rFonts w:ascii="Times New Roman" w:hAnsi="Times New Roman" w:cs="Times New Roman"/>
        </w:rPr>
        <w:t xml:space="preserve"> (Kanowitz, 1969</w:t>
      </w:r>
      <w:r>
        <w:rPr>
          <w:rFonts w:ascii="Times New Roman" w:hAnsi="Times New Roman" w:cs="Times New Roman"/>
        </w:rPr>
        <w:t xml:space="preserve">). </w:t>
      </w:r>
    </w:p>
    <w:p w14:paraId="75A48F4E" w14:textId="5778A7AA" w:rsidR="00635006" w:rsidRDefault="00635006" w:rsidP="00417AF3">
      <w:pPr>
        <w:spacing w:line="480" w:lineRule="auto"/>
        <w:ind w:right="720" w:firstLine="720"/>
        <w:rPr>
          <w:rFonts w:ascii="Times New Roman" w:hAnsi="Times New Roman" w:cs="Times New Roman"/>
        </w:rPr>
      </w:pPr>
      <w:r w:rsidRPr="003C15B0">
        <w:rPr>
          <w:rFonts w:ascii="Times New Roman" w:hAnsi="Times New Roman" w:cs="Times New Roman"/>
        </w:rPr>
        <w:lastRenderedPageBreak/>
        <w:t xml:space="preserve">During the middle of the </w:t>
      </w:r>
      <w:r w:rsidR="005340C4">
        <w:rPr>
          <w:rFonts w:ascii="Times New Roman" w:hAnsi="Times New Roman" w:cs="Times New Roman"/>
        </w:rPr>
        <w:t>nineteenth</w:t>
      </w:r>
      <w:r w:rsidRPr="003C15B0">
        <w:rPr>
          <w:rFonts w:ascii="Times New Roman" w:hAnsi="Times New Roman" w:cs="Times New Roman"/>
        </w:rPr>
        <w:t xml:space="preserve"> century, it was widely accepted that men and women each had their own distinct domain, one outside of the home, and one within the home. The first women’s movement attempted to challenge this concept of “separate spheres of influences” for men and women (Kuersten, 2003, p. xvi). </w:t>
      </w:r>
      <w:r>
        <w:rPr>
          <w:rFonts w:ascii="Times New Roman" w:hAnsi="Times New Roman" w:cs="Times New Roman"/>
        </w:rPr>
        <w:t xml:space="preserve">This idea continued to perpetuate inequality between the sexes, making it increasingly difficult for women to gain a presence outside of their own home </w:t>
      </w:r>
      <w:r w:rsidRPr="00526502">
        <w:rPr>
          <w:rFonts w:ascii="Times New Roman" w:hAnsi="Times New Roman" w:cs="Times New Roman"/>
        </w:rPr>
        <w:t>(</w:t>
      </w:r>
      <w:r>
        <w:rPr>
          <w:rFonts w:ascii="Times New Roman" w:hAnsi="Times New Roman" w:cs="Times New Roman"/>
        </w:rPr>
        <w:t>Kuersten, 2003</w:t>
      </w:r>
      <w:r w:rsidRPr="00526502">
        <w:rPr>
          <w:rFonts w:ascii="Times New Roman" w:hAnsi="Times New Roman" w:cs="Times New Roman"/>
        </w:rPr>
        <w:t>).</w:t>
      </w:r>
      <w:r>
        <w:rPr>
          <w:rFonts w:ascii="Times New Roman" w:hAnsi="Times New Roman" w:cs="Times New Roman"/>
        </w:rPr>
        <w:t xml:space="preserve"> A small victory for women was achieved during</w:t>
      </w:r>
      <w:r w:rsidR="00417AF3">
        <w:rPr>
          <w:rFonts w:ascii="Times New Roman" w:hAnsi="Times New Roman" w:cs="Times New Roman"/>
        </w:rPr>
        <w:t xml:space="preserve"> this time in the success of </w:t>
      </w:r>
      <w:r>
        <w:rPr>
          <w:rFonts w:ascii="Times New Roman" w:hAnsi="Times New Roman" w:cs="Times New Roman"/>
        </w:rPr>
        <w:t>Married Women’s Property Acts, which were passed in 28 states between 1839 and 1865 (Kuersten, 2003, p. 11). These acts, which varied somewhat by state, allowed some rights to married women over their own property. They also made divorce slightly less devastating for women, as</w:t>
      </w:r>
      <w:r w:rsidR="00417AF3">
        <w:rPr>
          <w:rFonts w:ascii="Times New Roman" w:hAnsi="Times New Roman" w:cs="Times New Roman"/>
        </w:rPr>
        <w:t xml:space="preserve"> previously</w:t>
      </w:r>
      <w:r>
        <w:rPr>
          <w:rFonts w:ascii="Times New Roman" w:hAnsi="Times New Roman" w:cs="Times New Roman"/>
        </w:rPr>
        <w:t xml:space="preserve"> it would often leave them without anything to th</w:t>
      </w:r>
      <w:r w:rsidR="00417AF3">
        <w:rPr>
          <w:rFonts w:ascii="Times New Roman" w:hAnsi="Times New Roman" w:cs="Times New Roman"/>
        </w:rPr>
        <w:t>eir names (Kuersten, 2003</w:t>
      </w:r>
      <w:r>
        <w:rPr>
          <w:rFonts w:ascii="Times New Roman" w:hAnsi="Times New Roman" w:cs="Times New Roman"/>
        </w:rPr>
        <w:t xml:space="preserve">). These Acts only allowed so much control to wives, however, and men could still control much of their wives’ property without their consent (Kuersten, 2003). </w:t>
      </w:r>
    </w:p>
    <w:p w14:paraId="451A9ED1" w14:textId="7CA9D668"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t>Little was done during this phase of American history to advance the plight of women. Even small advancements could not be fully utilized to improve the social and politic</w:t>
      </w:r>
      <w:r w:rsidR="000305AD">
        <w:rPr>
          <w:rFonts w:ascii="Times New Roman" w:hAnsi="Times New Roman" w:cs="Times New Roman"/>
        </w:rPr>
        <w:t>al realities of this time. Law p</w:t>
      </w:r>
      <w:r>
        <w:rPr>
          <w:rFonts w:ascii="Times New Roman" w:hAnsi="Times New Roman" w:cs="Times New Roman"/>
        </w:rPr>
        <w:t>rofessor and scholar Leo Kanowitz describes the frustration and ap</w:t>
      </w:r>
      <w:r w:rsidR="00417AF3">
        <w:rPr>
          <w:rFonts w:ascii="Times New Roman" w:hAnsi="Times New Roman" w:cs="Times New Roman"/>
        </w:rPr>
        <w:t>parent hypocrisy of this time in saying:</w:t>
      </w:r>
    </w:p>
    <w:p w14:paraId="294B9EF4" w14:textId="026CE3D3" w:rsidR="00635006" w:rsidRDefault="00635006" w:rsidP="00635006">
      <w:pPr>
        <w:spacing w:line="480" w:lineRule="auto"/>
        <w:ind w:left="720" w:right="720"/>
        <w:rPr>
          <w:rFonts w:ascii="Times New Roman" w:hAnsi="Times New Roman" w:cs="Times New Roman"/>
        </w:rPr>
      </w:pPr>
      <w:r>
        <w:rPr>
          <w:rFonts w:ascii="Times New Roman" w:hAnsi="Times New Roman" w:cs="Times New Roman"/>
        </w:rPr>
        <w:t xml:space="preserve">It had been held that a statute requiring a husband to consent to a wife’s will depriving him of more than two-thirds of her estate did not violate the equal protection guarantee though the husband could make such disposition without the wife’s consent…Even a state constitutional </w:t>
      </w:r>
      <w:r>
        <w:rPr>
          <w:rFonts w:ascii="Times New Roman" w:hAnsi="Times New Roman" w:cs="Times New Roman"/>
        </w:rPr>
        <w:lastRenderedPageBreak/>
        <w:t>provision guaranteeing to ‘both male and female citizens’ the equal enjoyment of ‘all civil, political, and religious rights and privileges’ [could not be utilized to change that] sex based classification had ‘always been made, and…is a natural and proper one t</w:t>
      </w:r>
      <w:r w:rsidR="00417AF3">
        <w:rPr>
          <w:rFonts w:ascii="Times New Roman" w:hAnsi="Times New Roman" w:cs="Times New Roman"/>
        </w:rPr>
        <w:t>o make. (1969, p. 151)</w:t>
      </w:r>
      <w:r>
        <w:rPr>
          <w:rFonts w:ascii="Times New Roman" w:hAnsi="Times New Roman" w:cs="Times New Roman"/>
        </w:rPr>
        <w:t xml:space="preserve"> </w:t>
      </w:r>
    </w:p>
    <w:p w14:paraId="551DC71D" w14:textId="77777777" w:rsidR="00635006" w:rsidRDefault="00635006" w:rsidP="00635006">
      <w:pPr>
        <w:spacing w:line="480" w:lineRule="auto"/>
        <w:rPr>
          <w:rFonts w:ascii="Times New Roman" w:hAnsi="Times New Roman" w:cs="Times New Roman"/>
        </w:rPr>
      </w:pPr>
      <w:r>
        <w:rPr>
          <w:rFonts w:ascii="Times New Roman" w:hAnsi="Times New Roman" w:cs="Times New Roman"/>
        </w:rPr>
        <w:t>Though it may seem that these foundations were insignificant, these steps were vital to initiating what became the first organized movement for the equality of women.</w:t>
      </w:r>
    </w:p>
    <w:p w14:paraId="478B581D" w14:textId="28986952" w:rsidR="00635006" w:rsidRDefault="00635006" w:rsidP="00417AF3">
      <w:pPr>
        <w:spacing w:line="480" w:lineRule="auto"/>
        <w:jc w:val="center"/>
        <w:rPr>
          <w:rFonts w:ascii="Times New Roman" w:hAnsi="Times New Roman" w:cs="Times New Roman"/>
        </w:rPr>
      </w:pPr>
      <w:r>
        <w:rPr>
          <w:rFonts w:ascii="Times New Roman" w:hAnsi="Times New Roman" w:cs="Times New Roman"/>
        </w:rPr>
        <w:t>The Early Push for Women’s Rights</w:t>
      </w:r>
    </w:p>
    <w:p w14:paraId="47C03CA8" w14:textId="3936203A" w:rsidR="00635006" w:rsidRDefault="00635006" w:rsidP="00417AF3">
      <w:pPr>
        <w:spacing w:line="480" w:lineRule="auto"/>
        <w:ind w:firstLine="720"/>
        <w:rPr>
          <w:rFonts w:ascii="Times New Roman" w:hAnsi="Times New Roman" w:cs="Times New Roman"/>
        </w:rPr>
      </w:pPr>
      <w:r>
        <w:rPr>
          <w:rFonts w:ascii="Times New Roman" w:hAnsi="Times New Roman" w:cs="Times New Roman"/>
        </w:rPr>
        <w:t>Many women saw the passage of the first Women’s Property Acts as an opportunity to challenge other foundational elements of</w:t>
      </w:r>
      <w:r w:rsidR="009531A9">
        <w:rPr>
          <w:rFonts w:ascii="Times New Roman" w:hAnsi="Times New Roman" w:cs="Times New Roman"/>
        </w:rPr>
        <w:t xml:space="preserve"> coverture (Kuersten, 2003</w:t>
      </w:r>
      <w:r>
        <w:rPr>
          <w:rFonts w:ascii="Times New Roman" w:hAnsi="Times New Roman" w:cs="Times New Roman"/>
        </w:rPr>
        <w:t>). The Women’s Property Acts, in addition to t</w:t>
      </w:r>
      <w:r w:rsidRPr="003C15B0">
        <w:rPr>
          <w:rFonts w:ascii="Times New Roman" w:hAnsi="Times New Roman" w:cs="Times New Roman"/>
        </w:rPr>
        <w:t>he antislavery movement ins</w:t>
      </w:r>
      <w:r>
        <w:rPr>
          <w:rFonts w:ascii="Times New Roman" w:hAnsi="Times New Roman" w:cs="Times New Roman"/>
        </w:rPr>
        <w:t>pired the origins of the early w</w:t>
      </w:r>
      <w:r w:rsidRPr="003C15B0">
        <w:rPr>
          <w:rFonts w:ascii="Times New Roman" w:hAnsi="Times New Roman" w:cs="Times New Roman"/>
        </w:rPr>
        <w:t>omen’s movement. W</w:t>
      </w:r>
      <w:r w:rsidR="00756498">
        <w:rPr>
          <w:rFonts w:ascii="Times New Roman" w:hAnsi="Times New Roman" w:cs="Times New Roman"/>
        </w:rPr>
        <w:t xml:space="preserve">omen including </w:t>
      </w:r>
      <w:r w:rsidRPr="003C15B0">
        <w:rPr>
          <w:rFonts w:ascii="Times New Roman" w:hAnsi="Times New Roman" w:cs="Times New Roman"/>
        </w:rPr>
        <w:t>Lucretia Mott, Angelina and Sarah Gri</w:t>
      </w:r>
      <w:r w:rsidR="00756498">
        <w:rPr>
          <w:rFonts w:ascii="Times New Roman" w:hAnsi="Times New Roman" w:cs="Times New Roman"/>
        </w:rPr>
        <w:t>mke, and Elizabeth Cady Stanton started their work for equality in the</w:t>
      </w:r>
      <w:r w:rsidRPr="003C15B0">
        <w:rPr>
          <w:rFonts w:ascii="Times New Roman" w:hAnsi="Times New Roman" w:cs="Times New Roman"/>
        </w:rPr>
        <w:t xml:space="preserve"> abolition </w:t>
      </w:r>
      <w:r w:rsidR="00756498">
        <w:rPr>
          <w:rFonts w:ascii="Times New Roman" w:hAnsi="Times New Roman" w:cs="Times New Roman"/>
        </w:rPr>
        <w:t>movement. In doing so, they learned the necessary political savvy to encourage male politicians advocate for change (Kuersten, 2003</w:t>
      </w:r>
      <w:r w:rsidRPr="003C15B0">
        <w:rPr>
          <w:rFonts w:ascii="Times New Roman" w:hAnsi="Times New Roman" w:cs="Times New Roman"/>
        </w:rPr>
        <w:t xml:space="preserve">). Mott and Stanton used their experience in the antislavery movement </w:t>
      </w:r>
      <w:r w:rsidR="00756498">
        <w:rPr>
          <w:rFonts w:ascii="Times New Roman" w:hAnsi="Times New Roman" w:cs="Times New Roman"/>
        </w:rPr>
        <w:t>to also begin promoting women’s rights. Their first step was to formalize a meeting in an effort to garner support</w:t>
      </w:r>
      <w:r w:rsidRPr="003C15B0">
        <w:rPr>
          <w:rFonts w:ascii="Times New Roman" w:hAnsi="Times New Roman" w:cs="Times New Roman"/>
        </w:rPr>
        <w:t xml:space="preserve">. </w:t>
      </w:r>
    </w:p>
    <w:p w14:paraId="34E3D6FE" w14:textId="197DA914" w:rsidR="00635006" w:rsidRDefault="00635006" w:rsidP="00635006">
      <w:pPr>
        <w:spacing w:line="480" w:lineRule="auto"/>
        <w:ind w:firstLine="720"/>
        <w:rPr>
          <w:rFonts w:ascii="Times New Roman" w:hAnsi="Times New Roman" w:cs="Times New Roman"/>
        </w:rPr>
      </w:pPr>
      <w:r w:rsidRPr="003C15B0">
        <w:rPr>
          <w:rFonts w:ascii="Times New Roman" w:hAnsi="Times New Roman" w:cs="Times New Roman"/>
        </w:rPr>
        <w:t>The Seneca Falls Convention of 1848 was the culmination of “a collective effort in an attempt to equalize women’s rights” (Kuersten, 2003, p. xvi).</w:t>
      </w:r>
      <w:r>
        <w:rPr>
          <w:rFonts w:ascii="Times New Roman" w:hAnsi="Times New Roman" w:cs="Times New Roman"/>
        </w:rPr>
        <w:t xml:space="preserve"> This meeting is often regarded as the origin of the women’s right movement.</w:t>
      </w:r>
      <w:r w:rsidRPr="003C15B0">
        <w:rPr>
          <w:rFonts w:ascii="Times New Roman" w:hAnsi="Times New Roman" w:cs="Times New Roman"/>
        </w:rPr>
        <w:t xml:space="preserve"> The convention, and the “Declaration of Sentiments” that followed, called for more than just suffrage, but the overall need for gender equal</w:t>
      </w:r>
      <w:r w:rsidR="009531A9">
        <w:rPr>
          <w:rFonts w:ascii="Times New Roman" w:hAnsi="Times New Roman" w:cs="Times New Roman"/>
        </w:rPr>
        <w:t>ity (Kuersten, 2003</w:t>
      </w:r>
      <w:r w:rsidRPr="003C15B0">
        <w:rPr>
          <w:rFonts w:ascii="Times New Roman" w:hAnsi="Times New Roman" w:cs="Times New Roman"/>
        </w:rPr>
        <w:t xml:space="preserve">). The “Declaration of Sentiments” was modeled after the Declaration of Independence and “presented demands for equal rights of women in marriage, education, religion, employment, and politics” (Kuersten, 2003, p. </w:t>
      </w:r>
      <w:r w:rsidRPr="003C15B0">
        <w:rPr>
          <w:rFonts w:ascii="Times New Roman" w:hAnsi="Times New Roman" w:cs="Times New Roman"/>
        </w:rPr>
        <w:lastRenderedPageBreak/>
        <w:t xml:space="preserve">5). </w:t>
      </w:r>
      <w:r>
        <w:rPr>
          <w:rFonts w:ascii="Times New Roman" w:hAnsi="Times New Roman" w:cs="Times New Roman"/>
        </w:rPr>
        <w:t>Despite this mobilization of women, the movement experienced a number of setbacks, many of which reflect</w:t>
      </w:r>
      <w:r w:rsidR="009531A9">
        <w:rPr>
          <w:rFonts w:ascii="Times New Roman" w:hAnsi="Times New Roman" w:cs="Times New Roman"/>
        </w:rPr>
        <w:t>ed</w:t>
      </w:r>
      <w:r>
        <w:rPr>
          <w:rFonts w:ascii="Times New Roman" w:hAnsi="Times New Roman" w:cs="Times New Roman"/>
        </w:rPr>
        <w:t xml:space="preserve"> </w:t>
      </w:r>
      <w:r w:rsidR="009531A9">
        <w:rPr>
          <w:rFonts w:ascii="Times New Roman" w:hAnsi="Times New Roman" w:cs="Times New Roman"/>
        </w:rPr>
        <w:t>the influence</w:t>
      </w:r>
      <w:r>
        <w:rPr>
          <w:rFonts w:ascii="Times New Roman" w:hAnsi="Times New Roman" w:cs="Times New Roman"/>
        </w:rPr>
        <w:t xml:space="preserve"> of common law and coverture.</w:t>
      </w:r>
    </w:p>
    <w:p w14:paraId="23BB9F93" w14:textId="5CBA56D0"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t>In 1872</w:t>
      </w:r>
      <w:r w:rsidR="009531A9">
        <w:rPr>
          <w:rFonts w:ascii="Times New Roman" w:hAnsi="Times New Roman" w:cs="Times New Roman"/>
        </w:rPr>
        <w:t>,</w:t>
      </w:r>
      <w:r>
        <w:rPr>
          <w:rFonts w:ascii="Times New Roman" w:hAnsi="Times New Roman" w:cs="Times New Roman"/>
        </w:rPr>
        <w:t xml:space="preserve"> Susan B. Anthony, one of the major figures of the women’s movement for suffrage and equality</w:t>
      </w:r>
      <w:r w:rsidR="009531A9">
        <w:rPr>
          <w:rFonts w:ascii="Times New Roman" w:hAnsi="Times New Roman" w:cs="Times New Roman"/>
        </w:rPr>
        <w:t>,</w:t>
      </w:r>
      <w:r>
        <w:rPr>
          <w:rFonts w:ascii="Times New Roman" w:hAnsi="Times New Roman" w:cs="Times New Roman"/>
        </w:rPr>
        <w:t xml:space="preserve"> was arrest</w:t>
      </w:r>
      <w:r w:rsidR="009531A9">
        <w:rPr>
          <w:rFonts w:ascii="Times New Roman" w:hAnsi="Times New Roman" w:cs="Times New Roman"/>
        </w:rPr>
        <w:t xml:space="preserve">ed </w:t>
      </w:r>
      <w:r>
        <w:rPr>
          <w:rFonts w:ascii="Times New Roman" w:hAnsi="Times New Roman" w:cs="Times New Roman"/>
        </w:rPr>
        <w:t>and convicted</w:t>
      </w:r>
      <w:r w:rsidR="009531A9">
        <w:rPr>
          <w:rFonts w:ascii="Times New Roman" w:hAnsi="Times New Roman" w:cs="Times New Roman"/>
        </w:rPr>
        <w:t xml:space="preserve"> of voting (Kuersten, 2003</w:t>
      </w:r>
      <w:r>
        <w:rPr>
          <w:rFonts w:ascii="Times New Roman" w:hAnsi="Times New Roman" w:cs="Times New Roman"/>
        </w:rPr>
        <w:t xml:space="preserve">). Anthony and her sisters entered a registration center and demanded to be added to the voter registry. Election officers at the site refused, but the Anthony sisters were adamant, quoting the </w:t>
      </w:r>
      <w:r w:rsidR="005340C4">
        <w:rPr>
          <w:rFonts w:ascii="Times New Roman" w:hAnsi="Times New Roman" w:cs="Times New Roman"/>
        </w:rPr>
        <w:t>Fourteenth A</w:t>
      </w:r>
      <w:r>
        <w:rPr>
          <w:rFonts w:ascii="Times New Roman" w:hAnsi="Times New Roman" w:cs="Times New Roman"/>
        </w:rPr>
        <w:t>mendment and threatening to take legal action against the men. After discussing the legitimacy of that threat with their superiors, the election officers allowed the women to cast their ballots, though Anthony was arrested a f</w:t>
      </w:r>
      <w:r w:rsidR="009531A9">
        <w:rPr>
          <w:rFonts w:ascii="Times New Roman" w:hAnsi="Times New Roman" w:cs="Times New Roman"/>
        </w:rPr>
        <w:t>ew days later (Linder, 2001</w:t>
      </w:r>
      <w:r>
        <w:rPr>
          <w:rFonts w:ascii="Times New Roman" w:hAnsi="Times New Roman" w:cs="Times New Roman"/>
        </w:rPr>
        <w:t xml:space="preserve">). </w:t>
      </w:r>
    </w:p>
    <w:p w14:paraId="6FE580F3" w14:textId="66956E67" w:rsidR="00635006" w:rsidRDefault="00635006" w:rsidP="00635006">
      <w:pPr>
        <w:spacing w:line="480" w:lineRule="auto"/>
        <w:ind w:firstLine="720"/>
        <w:rPr>
          <w:rFonts w:ascii="Times New Roman" w:hAnsi="Times New Roman" w:cs="Times New Roman"/>
        </w:rPr>
      </w:pPr>
      <w:proofErr w:type="gramStart"/>
      <w:r>
        <w:rPr>
          <w:rFonts w:ascii="Times New Roman" w:hAnsi="Times New Roman" w:cs="Times New Roman"/>
        </w:rPr>
        <w:t>During her trial, Susan B. Anthony’s defense hinged on the assertion that her persecution was exclusively a result of her gender.</w:t>
      </w:r>
      <w:proofErr w:type="gramEnd"/>
      <w:r>
        <w:rPr>
          <w:rFonts w:ascii="Times New Roman" w:hAnsi="Times New Roman" w:cs="Times New Roman"/>
        </w:rPr>
        <w:t xml:space="preserve"> The defense opened by stating </w:t>
      </w:r>
      <w:r w:rsidR="009531A9">
        <w:rPr>
          <w:rFonts w:ascii="Times New Roman" w:hAnsi="Times New Roman" w:cs="Times New Roman"/>
        </w:rPr>
        <w:t xml:space="preserve">that </w:t>
      </w:r>
      <w:r>
        <w:rPr>
          <w:rFonts w:ascii="Times New Roman" w:hAnsi="Times New Roman" w:cs="Times New Roman"/>
        </w:rPr>
        <w:t>“</w:t>
      </w:r>
      <w:r w:rsidR="009531A9">
        <w:rPr>
          <w:rFonts w:ascii="Times New Roman" w:hAnsi="Times New Roman" w:cs="Times New Roman"/>
        </w:rPr>
        <w:t>t</w:t>
      </w:r>
      <w:r w:rsidRPr="00145D99">
        <w:rPr>
          <w:rFonts w:ascii="Times New Roman" w:hAnsi="Times New Roman" w:cs="Times New Roman"/>
        </w:rPr>
        <w:t xml:space="preserve">he crime therefore consists not in the act done, but in the simple fact that the person doing it was a woman and not a man, I believe this is the first instance in which a woman has been arraigned in a criminal court, </w:t>
      </w:r>
      <w:r>
        <w:rPr>
          <w:rFonts w:ascii="Times New Roman" w:hAnsi="Times New Roman" w:cs="Times New Roman"/>
        </w:rPr>
        <w:t xml:space="preserve">merely on account of her sex...” </w:t>
      </w:r>
      <w:proofErr w:type="gramStart"/>
      <w:r>
        <w:rPr>
          <w:rFonts w:ascii="Times New Roman" w:hAnsi="Times New Roman" w:cs="Times New Roman"/>
        </w:rPr>
        <w:t>(Linder, 2001, p.</w:t>
      </w:r>
      <w:r w:rsidR="009531A9">
        <w:rPr>
          <w:rFonts w:ascii="Times New Roman" w:hAnsi="Times New Roman" w:cs="Times New Roman"/>
        </w:rPr>
        <w:t xml:space="preserve"> </w:t>
      </w:r>
      <w:r>
        <w:rPr>
          <w:rFonts w:ascii="Times New Roman" w:hAnsi="Times New Roman" w:cs="Times New Roman"/>
        </w:rPr>
        <w:t>4).</w:t>
      </w:r>
      <w:proofErr w:type="gramEnd"/>
      <w:r>
        <w:rPr>
          <w:rFonts w:ascii="Times New Roman" w:hAnsi="Times New Roman" w:cs="Times New Roman"/>
        </w:rPr>
        <w:t xml:space="preserve"> Anthony’s attorney also insisted that her ability to vote was protected by the </w:t>
      </w:r>
      <w:r w:rsidR="005340C4">
        <w:rPr>
          <w:rFonts w:ascii="Times New Roman" w:hAnsi="Times New Roman" w:cs="Times New Roman"/>
        </w:rPr>
        <w:t>Fourteenth A</w:t>
      </w:r>
      <w:r>
        <w:rPr>
          <w:rFonts w:ascii="Times New Roman" w:hAnsi="Times New Roman" w:cs="Times New Roman"/>
        </w:rPr>
        <w:t xml:space="preserve">mendment, which prevented the creation or use of any law “which shall abridge the privileges or immunities of </w:t>
      </w:r>
      <w:r w:rsidR="009531A9">
        <w:rPr>
          <w:rFonts w:ascii="Times New Roman" w:hAnsi="Times New Roman" w:cs="Times New Roman"/>
        </w:rPr>
        <w:t xml:space="preserve">citizens of the United States” </w:t>
      </w:r>
      <w:r>
        <w:rPr>
          <w:rFonts w:ascii="Times New Roman" w:hAnsi="Times New Roman" w:cs="Times New Roman"/>
        </w:rPr>
        <w:t>(Linder, 2001, p.</w:t>
      </w:r>
      <w:r w:rsidR="009531A9">
        <w:rPr>
          <w:rFonts w:ascii="Times New Roman" w:hAnsi="Times New Roman" w:cs="Times New Roman"/>
        </w:rPr>
        <w:t xml:space="preserve"> </w:t>
      </w:r>
      <w:r>
        <w:rPr>
          <w:rFonts w:ascii="Times New Roman" w:hAnsi="Times New Roman" w:cs="Times New Roman"/>
        </w:rPr>
        <w:t>4).  Unfortunately, the presiding judge, Judge Hunt, did not rule in Anthony’s favor. Th</w:t>
      </w:r>
      <w:r w:rsidR="009531A9">
        <w:rPr>
          <w:rFonts w:ascii="Times New Roman" w:hAnsi="Times New Roman" w:cs="Times New Roman"/>
        </w:rPr>
        <w:t>e judge held that</w:t>
      </w:r>
      <w:r>
        <w:rPr>
          <w:rFonts w:ascii="Times New Roman" w:hAnsi="Times New Roman" w:cs="Times New Roman"/>
        </w:rPr>
        <w:t>, “</w:t>
      </w:r>
      <w:r w:rsidR="009531A9">
        <w:rPr>
          <w:rFonts w:ascii="Times New Roman" w:hAnsi="Times New Roman" w:cs="Times New Roman"/>
        </w:rPr>
        <w:t>t</w:t>
      </w:r>
      <w:r w:rsidRPr="00F91DC9">
        <w:rPr>
          <w:rFonts w:ascii="Times New Roman" w:hAnsi="Times New Roman" w:cs="Times New Roman"/>
        </w:rPr>
        <w:t>he Fourteenth Amendment gives no right to a woman to vote, and the voting by Miss Antho</w:t>
      </w:r>
      <w:r>
        <w:rPr>
          <w:rFonts w:ascii="Times New Roman" w:hAnsi="Times New Roman" w:cs="Times New Roman"/>
        </w:rPr>
        <w:t>ny was in violation of the law” (Linder, 2001, p.</w:t>
      </w:r>
      <w:r w:rsidR="009531A9">
        <w:rPr>
          <w:rFonts w:ascii="Times New Roman" w:hAnsi="Times New Roman" w:cs="Times New Roman"/>
        </w:rPr>
        <w:t xml:space="preserve"> </w:t>
      </w:r>
      <w:r>
        <w:rPr>
          <w:rFonts w:ascii="Times New Roman" w:hAnsi="Times New Roman" w:cs="Times New Roman"/>
        </w:rPr>
        <w:t xml:space="preserve">4). This was the first of what would be many disappointing rulings that would inhibit the progression of the rights of women. </w:t>
      </w:r>
    </w:p>
    <w:p w14:paraId="5290CD1B" w14:textId="1CFE2993"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lastRenderedPageBreak/>
        <w:t xml:space="preserve">The decision in the 1873 case of </w:t>
      </w:r>
      <w:r w:rsidRPr="00C50C67">
        <w:rPr>
          <w:rFonts w:ascii="Times New Roman" w:hAnsi="Times New Roman" w:cs="Times New Roman"/>
          <w:i/>
        </w:rPr>
        <w:t>Bradwell v. Illinois</w:t>
      </w:r>
      <w:r>
        <w:rPr>
          <w:rFonts w:ascii="Times New Roman" w:hAnsi="Times New Roman" w:cs="Times New Roman"/>
        </w:rPr>
        <w:t xml:space="preserve"> also reinforced many of Blackstone’s ideals. Myra Bradwell insisted that</w:t>
      </w:r>
      <w:r w:rsidR="009531A9">
        <w:rPr>
          <w:rFonts w:ascii="Times New Roman" w:hAnsi="Times New Roman" w:cs="Times New Roman"/>
        </w:rPr>
        <w:t xml:space="preserve">, </w:t>
      </w:r>
      <w:r w:rsidR="005340C4">
        <w:rPr>
          <w:rFonts w:ascii="Times New Roman" w:hAnsi="Times New Roman" w:cs="Times New Roman"/>
        </w:rPr>
        <w:t>under the Fourteenth A</w:t>
      </w:r>
      <w:r>
        <w:rPr>
          <w:rFonts w:ascii="Times New Roman" w:hAnsi="Times New Roman" w:cs="Times New Roman"/>
        </w:rPr>
        <w:t xml:space="preserve">mendment of the constitution, </w:t>
      </w:r>
      <w:r w:rsidR="009531A9">
        <w:rPr>
          <w:rFonts w:ascii="Times New Roman" w:hAnsi="Times New Roman" w:cs="Times New Roman"/>
        </w:rPr>
        <w:t xml:space="preserve">she </w:t>
      </w:r>
      <w:r>
        <w:rPr>
          <w:rFonts w:ascii="Times New Roman" w:hAnsi="Times New Roman" w:cs="Times New Roman"/>
        </w:rPr>
        <w:t>retained the right to practice law in the state of Il</w:t>
      </w:r>
      <w:r w:rsidR="009531A9">
        <w:rPr>
          <w:rFonts w:ascii="Times New Roman" w:hAnsi="Times New Roman" w:cs="Times New Roman"/>
        </w:rPr>
        <w:t>linois (Kanowitz, 1969</w:t>
      </w:r>
      <w:r>
        <w:rPr>
          <w:rFonts w:ascii="Times New Roman" w:hAnsi="Times New Roman" w:cs="Times New Roman"/>
        </w:rPr>
        <w:t>). Mrs. Bradwell stated that it was “neither a crime nor a disqualification to be a married woman</w:t>
      </w:r>
      <w:r w:rsidR="007553FB">
        <w:rPr>
          <w:rFonts w:ascii="Times New Roman" w:hAnsi="Times New Roman" w:cs="Times New Roman"/>
        </w:rPr>
        <w:t>,”</w:t>
      </w:r>
      <w:r>
        <w:rPr>
          <w:rFonts w:ascii="Times New Roman" w:hAnsi="Times New Roman" w:cs="Times New Roman"/>
        </w:rPr>
        <w:t xml:space="preserve"> though the legal realities of that time seemed to imply otherwise (Kuersten, 2003, p. xviii). The court denied her claim, concluding that the </w:t>
      </w:r>
      <w:r w:rsidR="005340C4">
        <w:rPr>
          <w:rFonts w:ascii="Times New Roman" w:hAnsi="Times New Roman" w:cs="Times New Roman"/>
        </w:rPr>
        <w:t>Fourteenth A</w:t>
      </w:r>
      <w:r>
        <w:rPr>
          <w:rFonts w:ascii="Times New Roman" w:hAnsi="Times New Roman" w:cs="Times New Roman"/>
        </w:rPr>
        <w:t>mendment in no way allocated the ability to practice law to women. In his concurring opinion, Justice Bradley stated, “it was not with the slightest expectation that this privilege would be extended to women” (Kanowitz, 1969, p.</w:t>
      </w:r>
      <w:r w:rsidR="009531A9">
        <w:rPr>
          <w:rFonts w:ascii="Times New Roman" w:hAnsi="Times New Roman" w:cs="Times New Roman"/>
        </w:rPr>
        <w:t xml:space="preserve"> </w:t>
      </w:r>
      <w:r>
        <w:rPr>
          <w:rFonts w:ascii="Times New Roman" w:hAnsi="Times New Roman" w:cs="Times New Roman"/>
        </w:rPr>
        <w:t>44). He went on to justify this statement using similar language to Blackstone’s writings, saying, “The paramount destiny and mission of women are to fulfill the noble and benign offices of wife and mother. This is the Law of the Creator” (Kanowitz, 1969, p. 44). Further outlining the social stan</w:t>
      </w:r>
      <w:r w:rsidR="009531A9">
        <w:rPr>
          <w:rFonts w:ascii="Times New Roman" w:hAnsi="Times New Roman" w:cs="Times New Roman"/>
        </w:rPr>
        <w:t>ding of women, Bradley continued</w:t>
      </w:r>
      <w:r>
        <w:rPr>
          <w:rFonts w:ascii="Times New Roman" w:hAnsi="Times New Roman" w:cs="Times New Roman"/>
        </w:rPr>
        <w:t xml:space="preserve">, “Man is, or should be, woman’s protector and defender. The natural and proper timidity and delicacy which belongs to the female sex evidently unfits it for many of the occupations of civil life” (Kanowitz, 1969, p. 87).  </w:t>
      </w:r>
    </w:p>
    <w:p w14:paraId="18197521" w14:textId="606C2E98"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t>There are a number of cases in which respected justices continue</w:t>
      </w:r>
      <w:r w:rsidR="009531A9">
        <w:rPr>
          <w:rFonts w:ascii="Times New Roman" w:hAnsi="Times New Roman" w:cs="Times New Roman"/>
        </w:rPr>
        <w:t>d</w:t>
      </w:r>
      <w:r>
        <w:rPr>
          <w:rFonts w:ascii="Times New Roman" w:hAnsi="Times New Roman" w:cs="Times New Roman"/>
        </w:rPr>
        <w:t xml:space="preserve"> to defend the role of women as civilly inferior. </w:t>
      </w:r>
      <w:r w:rsidRPr="001B36E0">
        <w:rPr>
          <w:rFonts w:ascii="Times New Roman" w:hAnsi="Times New Roman" w:cs="Times New Roman"/>
          <w:i/>
        </w:rPr>
        <w:t xml:space="preserve">Rosencrantz v. Territory </w:t>
      </w:r>
      <w:r>
        <w:rPr>
          <w:rFonts w:ascii="Times New Roman" w:hAnsi="Times New Roman" w:cs="Times New Roman"/>
        </w:rPr>
        <w:t>of Washington discussed the issue of female participation in juries. Though the court ruled that women could serve as jurors, in his dissent, Justice Turner shows the continued prevalence of Blackston</w:t>
      </w:r>
      <w:r w:rsidR="009531A9">
        <w:rPr>
          <w:rFonts w:ascii="Times New Roman" w:hAnsi="Times New Roman" w:cs="Times New Roman"/>
        </w:rPr>
        <w:t>e’s ideals, stating that he did</w:t>
      </w:r>
      <w:r>
        <w:rPr>
          <w:rFonts w:ascii="Times New Roman" w:hAnsi="Times New Roman" w:cs="Times New Roman"/>
        </w:rPr>
        <w:t xml:space="preserve"> not believe “that females are competent under the law as grand or </w:t>
      </w:r>
      <w:proofErr w:type="spellStart"/>
      <w:r>
        <w:rPr>
          <w:rFonts w:ascii="Times New Roman" w:hAnsi="Times New Roman" w:cs="Times New Roman"/>
        </w:rPr>
        <w:t>potit</w:t>
      </w:r>
      <w:proofErr w:type="spellEnd"/>
      <w:r>
        <w:rPr>
          <w:rFonts w:ascii="Times New Roman" w:hAnsi="Times New Roman" w:cs="Times New Roman"/>
        </w:rPr>
        <w:t xml:space="preserve"> jurors” (</w:t>
      </w:r>
      <w:r w:rsidR="0098184D">
        <w:rPr>
          <w:rFonts w:ascii="Times New Roman" w:hAnsi="Times New Roman" w:cs="Times New Roman"/>
        </w:rPr>
        <w:t>Rosencrantz</w:t>
      </w:r>
      <w:r>
        <w:rPr>
          <w:rFonts w:ascii="Times New Roman" w:hAnsi="Times New Roman" w:cs="Times New Roman"/>
        </w:rPr>
        <w:t>, 1885, p. 308). He goes on to explain his reasoning, citing women as “the weaker sex” and claiming that their “delicacy” requires protection (</w:t>
      </w:r>
      <w:r w:rsidR="0098184D">
        <w:rPr>
          <w:rFonts w:ascii="Times New Roman" w:hAnsi="Times New Roman" w:cs="Times New Roman"/>
        </w:rPr>
        <w:t>Rosencrantz</w:t>
      </w:r>
      <w:r>
        <w:rPr>
          <w:rFonts w:ascii="Times New Roman" w:hAnsi="Times New Roman" w:cs="Times New Roman"/>
        </w:rPr>
        <w:t>, 1885</w:t>
      </w:r>
      <w:r w:rsidR="009531A9">
        <w:rPr>
          <w:rFonts w:ascii="Times New Roman" w:hAnsi="Times New Roman" w:cs="Times New Roman"/>
        </w:rPr>
        <w:t>, p. 309). Justice Turner stated</w:t>
      </w:r>
      <w:r>
        <w:rPr>
          <w:rFonts w:ascii="Times New Roman" w:hAnsi="Times New Roman" w:cs="Times New Roman"/>
        </w:rPr>
        <w:t>,</w:t>
      </w:r>
    </w:p>
    <w:p w14:paraId="23AF312E" w14:textId="48AC07B2" w:rsidR="00635006" w:rsidRDefault="00635006" w:rsidP="00635006">
      <w:pPr>
        <w:spacing w:line="480" w:lineRule="auto"/>
        <w:ind w:left="720" w:right="720"/>
        <w:rPr>
          <w:rFonts w:ascii="Times New Roman" w:hAnsi="Times New Roman" w:cs="Times New Roman"/>
        </w:rPr>
      </w:pPr>
      <w:r>
        <w:rPr>
          <w:rFonts w:ascii="Times New Roman" w:hAnsi="Times New Roman" w:cs="Times New Roman"/>
        </w:rPr>
        <w:lastRenderedPageBreak/>
        <w:t>I cannot say, however, that I wish to see them perform the duties of jurors. The liability to perform jury duty is an obligation, not a right. In the case of woman, it is not necessary that she should accept the obligation to secure or maintain her rights. If it were, I should stifle all expression of the repugnance that I feel at seeing her introduced into associations, and exposed to influences which… must, in my opinion, shock and blunt those fine sensibilities, the possession of which is her chiefest charm, and the protection of which, under the religion and laws of all cou</w:t>
      </w:r>
      <w:r w:rsidR="009531A9">
        <w:rPr>
          <w:rFonts w:ascii="Times New Roman" w:hAnsi="Times New Roman" w:cs="Times New Roman"/>
        </w:rPr>
        <w:t>ntries…is her most sacred right</w:t>
      </w:r>
      <w:r w:rsidR="00E53268">
        <w:rPr>
          <w:rFonts w:ascii="Times New Roman" w:hAnsi="Times New Roman" w:cs="Times New Roman"/>
        </w:rPr>
        <w:t>.</w:t>
      </w:r>
      <w:r>
        <w:rPr>
          <w:rFonts w:ascii="Times New Roman" w:hAnsi="Times New Roman" w:cs="Times New Roman"/>
        </w:rPr>
        <w:t xml:space="preserve"> (</w:t>
      </w:r>
      <w:r w:rsidR="004500B2">
        <w:rPr>
          <w:rFonts w:ascii="Times New Roman" w:hAnsi="Times New Roman" w:cs="Times New Roman"/>
        </w:rPr>
        <w:t>Rosencrantz</w:t>
      </w:r>
      <w:r>
        <w:rPr>
          <w:rFonts w:ascii="Times New Roman" w:hAnsi="Times New Roman" w:cs="Times New Roman"/>
        </w:rPr>
        <w:t>, 1885, p. 310)</w:t>
      </w:r>
    </w:p>
    <w:p w14:paraId="12FE8269" w14:textId="309FA241"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t xml:space="preserve">Granting women suffrage was also a major issue of the time. The courts, up to this point, had failed to grant women protection under the </w:t>
      </w:r>
      <w:r w:rsidR="005340C4">
        <w:rPr>
          <w:rFonts w:ascii="Times New Roman" w:hAnsi="Times New Roman" w:cs="Times New Roman"/>
        </w:rPr>
        <w:t>Fourteenth</w:t>
      </w:r>
      <w:r>
        <w:rPr>
          <w:rFonts w:ascii="Times New Roman" w:hAnsi="Times New Roman" w:cs="Times New Roman"/>
        </w:rPr>
        <w:t xml:space="preserve"> Amendment, making it very difficult to establish a precedent that would allow women the right to vote (Kuersten, 2003)</w:t>
      </w:r>
      <w:r w:rsidR="009531A9">
        <w:rPr>
          <w:rFonts w:ascii="Times New Roman" w:hAnsi="Times New Roman" w:cs="Times New Roman"/>
        </w:rPr>
        <w:t>.</w:t>
      </w:r>
      <w:r>
        <w:rPr>
          <w:rFonts w:ascii="Times New Roman" w:hAnsi="Times New Roman" w:cs="Times New Roman"/>
        </w:rPr>
        <w:t xml:space="preserve"> The notion of separate spheres for the sexes was still widely accepted, and many feared that merging the two worlds would damage the social foundations of American life. Arguments against granting women the ability to vote included that doing so “would be a detriment to the American family” (Kuersten, 2003, p. xix). This concern did not exclusively come from men. Many women also believed that “societal interests were best served through a system of domestic and political subordination” (Kuersten, 2003, p. xix). Women’s groups were further disjointed over the concept of universal suffrage for women. While some believed it was inherently necessary for all women to receive the right t</w:t>
      </w:r>
      <w:r w:rsidR="009531A9">
        <w:rPr>
          <w:rFonts w:ascii="Times New Roman" w:hAnsi="Times New Roman" w:cs="Times New Roman"/>
        </w:rPr>
        <w:t>o vote, other</w:t>
      </w:r>
      <w:r>
        <w:rPr>
          <w:rFonts w:ascii="Times New Roman" w:hAnsi="Times New Roman" w:cs="Times New Roman"/>
        </w:rPr>
        <w:t xml:space="preserve"> groups insisted that voting be </w:t>
      </w:r>
      <w:r w:rsidR="009531A9">
        <w:rPr>
          <w:rFonts w:ascii="Times New Roman" w:hAnsi="Times New Roman" w:cs="Times New Roman"/>
        </w:rPr>
        <w:t>limited</w:t>
      </w:r>
      <w:r>
        <w:rPr>
          <w:rFonts w:ascii="Times New Roman" w:hAnsi="Times New Roman" w:cs="Times New Roman"/>
        </w:rPr>
        <w:t xml:space="preserve"> to the “highly literate” and those with “outstanding moral character” (Kuersten, 2003, p. xx). These </w:t>
      </w:r>
      <w:r>
        <w:rPr>
          <w:rFonts w:ascii="Times New Roman" w:hAnsi="Times New Roman" w:cs="Times New Roman"/>
        </w:rPr>
        <w:lastRenderedPageBreak/>
        <w:t>ideological divides ultimately interfered with the women’s movement</w:t>
      </w:r>
      <w:r w:rsidR="009531A9">
        <w:rPr>
          <w:rFonts w:ascii="Times New Roman" w:hAnsi="Times New Roman" w:cs="Times New Roman"/>
        </w:rPr>
        <w:t>’s ability</w:t>
      </w:r>
      <w:r>
        <w:rPr>
          <w:rFonts w:ascii="Times New Roman" w:hAnsi="Times New Roman" w:cs="Times New Roman"/>
        </w:rPr>
        <w:t xml:space="preserve"> to present a clear and cohesive message. </w:t>
      </w:r>
    </w:p>
    <w:p w14:paraId="48DDC1AC" w14:textId="21FB316F"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t xml:space="preserve">Though the women’s movement struggled to gain national clout, they did have some success in appealing to state legislators to grant women suffrage. Because states were free to create their own qualifications for voters, the lack of national cohesion proved to be less of a barrier (Kuersten, 2003). In 1890, Wyoming granted women </w:t>
      </w:r>
      <w:r w:rsidR="00C50C67">
        <w:rPr>
          <w:rFonts w:ascii="Times New Roman" w:hAnsi="Times New Roman" w:cs="Times New Roman"/>
        </w:rPr>
        <w:t xml:space="preserve">the right to vote, followed by </w:t>
      </w:r>
      <w:r>
        <w:rPr>
          <w:rFonts w:ascii="Times New Roman" w:hAnsi="Times New Roman" w:cs="Times New Roman"/>
        </w:rPr>
        <w:t>Colorado, Idaho,</w:t>
      </w:r>
      <w:r w:rsidR="000305AD">
        <w:rPr>
          <w:rFonts w:ascii="Times New Roman" w:hAnsi="Times New Roman" w:cs="Times New Roman"/>
        </w:rPr>
        <w:t xml:space="preserve"> and Utah (Kuersten, 2003</w:t>
      </w:r>
      <w:r>
        <w:rPr>
          <w:rFonts w:ascii="Times New Roman" w:hAnsi="Times New Roman" w:cs="Times New Roman"/>
        </w:rPr>
        <w:t xml:space="preserve">). As women gained a foothold on individual states, critics of suffrage became more vocal. “Unable to choose between candidates or among issues, these critics said, women would vote according to their husbands’ preferences, so women’s suffrage was simply giving married men two votes…” </w:t>
      </w:r>
      <w:proofErr w:type="gramStart"/>
      <w:r>
        <w:rPr>
          <w:rFonts w:ascii="Times New Roman" w:hAnsi="Times New Roman" w:cs="Times New Roman"/>
        </w:rPr>
        <w:t>(Kuersten, 2003, p. xx).</w:t>
      </w:r>
      <w:proofErr w:type="gramEnd"/>
      <w:r>
        <w:rPr>
          <w:rFonts w:ascii="Times New Roman" w:hAnsi="Times New Roman" w:cs="Times New Roman"/>
        </w:rPr>
        <w:t xml:space="preserve"> </w:t>
      </w:r>
    </w:p>
    <w:p w14:paraId="6AB89BAA" w14:textId="3A7FADA9" w:rsidR="000948A0" w:rsidRDefault="009531A9" w:rsidP="009531A9">
      <w:pPr>
        <w:spacing w:line="480" w:lineRule="auto"/>
        <w:ind w:firstLine="720"/>
        <w:rPr>
          <w:rFonts w:ascii="Times New Roman" w:hAnsi="Times New Roman" w:cs="Times New Roman"/>
        </w:rPr>
      </w:pPr>
      <w:r>
        <w:rPr>
          <w:rFonts w:ascii="Times New Roman" w:hAnsi="Times New Roman" w:cs="Times New Roman"/>
        </w:rPr>
        <w:t>The success of P</w:t>
      </w:r>
      <w:r w:rsidR="00635006">
        <w:rPr>
          <w:rFonts w:ascii="Times New Roman" w:hAnsi="Times New Roman" w:cs="Times New Roman"/>
        </w:rPr>
        <w:t xml:space="preserve">rohibition renewed the sense of hope that women could conceivably pass a suffrage amendment as well (Kuersten, 2003). The </w:t>
      </w:r>
      <w:r w:rsidR="0053475A">
        <w:rPr>
          <w:rFonts w:ascii="Times New Roman" w:hAnsi="Times New Roman" w:cs="Times New Roman"/>
        </w:rPr>
        <w:t>First</w:t>
      </w:r>
      <w:r w:rsidR="00635006">
        <w:rPr>
          <w:rFonts w:ascii="Times New Roman" w:hAnsi="Times New Roman" w:cs="Times New Roman"/>
        </w:rPr>
        <w:t xml:space="preserve"> World War also played a role in advancing the women’s right movement. “In the immediate aftermath of the first World War, a combination of powerful rhetoric invoking modernity, democracy, and national superiority tipped the scales in favor of woman suffrage</w:t>
      </w:r>
      <w:r w:rsidR="000305AD">
        <w:rPr>
          <w:rFonts w:ascii="Times New Roman" w:hAnsi="Times New Roman" w:cs="Times New Roman"/>
        </w:rPr>
        <w:t>”</w:t>
      </w:r>
      <w:r w:rsidR="00635006">
        <w:rPr>
          <w:rFonts w:ascii="Times New Roman" w:hAnsi="Times New Roman" w:cs="Times New Roman"/>
        </w:rPr>
        <w:t xml:space="preserve"> </w:t>
      </w:r>
      <w:r w:rsidR="00635006" w:rsidRPr="00635006">
        <w:rPr>
          <w:rFonts w:ascii="Times New Roman" w:hAnsi="Times New Roman" w:cs="Times New Roman"/>
        </w:rPr>
        <w:t>(Thomas, 2011, p. 6).</w:t>
      </w:r>
      <w:r>
        <w:rPr>
          <w:rFonts w:ascii="Times New Roman" w:hAnsi="Times New Roman" w:cs="Times New Roman"/>
        </w:rPr>
        <w:t xml:space="preserve"> A radical women’s group called</w:t>
      </w:r>
      <w:r w:rsidR="00635006">
        <w:rPr>
          <w:rFonts w:ascii="Times New Roman" w:hAnsi="Times New Roman" w:cs="Times New Roman"/>
        </w:rPr>
        <w:t xml:space="preserve"> the National Woman’s Party, led a series of protests in front of the White House</w:t>
      </w:r>
      <w:r>
        <w:rPr>
          <w:rFonts w:ascii="Times New Roman" w:hAnsi="Times New Roman" w:cs="Times New Roman"/>
        </w:rPr>
        <w:t>,</w:t>
      </w:r>
      <w:r w:rsidR="00635006">
        <w:rPr>
          <w:rFonts w:ascii="Times New Roman" w:hAnsi="Times New Roman" w:cs="Times New Roman"/>
        </w:rPr>
        <w:t xml:space="preserve"> which led to a number of their leaders’ incarcerations. After an incredibly successful public sympathy campaign on behalf of the women who were jailed, Woodrow Wilson publically supported the proposed suffrage amendment in 1918 (Kuersten, 2003).</w:t>
      </w:r>
    </w:p>
    <w:p w14:paraId="7E5BC0EB" w14:textId="7D0CA9DC"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t xml:space="preserve"> The amendment plainly stated that the right to vote “shall not be denied or abridged by the United States nor any State on account of sex” (Kuersten, 2003, </w:t>
      </w:r>
      <w:r w:rsidR="00A61DF7">
        <w:rPr>
          <w:rFonts w:ascii="Times New Roman" w:hAnsi="Times New Roman" w:cs="Times New Roman"/>
        </w:rPr>
        <w:t xml:space="preserve">p. </w:t>
      </w:r>
      <w:r>
        <w:rPr>
          <w:rFonts w:ascii="Times New Roman" w:hAnsi="Times New Roman" w:cs="Times New Roman"/>
        </w:rPr>
        <w:t xml:space="preserve">xxi). </w:t>
      </w:r>
      <w:r>
        <w:rPr>
          <w:rFonts w:ascii="Times New Roman" w:hAnsi="Times New Roman" w:cs="Times New Roman"/>
        </w:rPr>
        <w:lastRenderedPageBreak/>
        <w:t xml:space="preserve">Congress approved the </w:t>
      </w:r>
      <w:r w:rsidR="005340C4">
        <w:rPr>
          <w:rFonts w:ascii="Times New Roman" w:hAnsi="Times New Roman" w:cs="Times New Roman"/>
        </w:rPr>
        <w:t>Nineteenth</w:t>
      </w:r>
      <w:r>
        <w:rPr>
          <w:rFonts w:ascii="Times New Roman" w:hAnsi="Times New Roman" w:cs="Times New Roman"/>
        </w:rPr>
        <w:t xml:space="preserve"> Amendment by the summer of 1920, and it was ratified by the states that August. Professor of gender and women’s studies, </w:t>
      </w:r>
      <w:proofErr w:type="spellStart"/>
      <w:r>
        <w:rPr>
          <w:rFonts w:ascii="Times New Roman" w:hAnsi="Times New Roman" w:cs="Times New Roman"/>
        </w:rPr>
        <w:t>Ashlyn</w:t>
      </w:r>
      <w:proofErr w:type="spellEnd"/>
      <w:r>
        <w:rPr>
          <w:rFonts w:ascii="Times New Roman" w:hAnsi="Times New Roman" w:cs="Times New Roman"/>
        </w:rPr>
        <w:t xml:space="preserve"> Kuersten</w:t>
      </w:r>
      <w:r w:rsidR="00A61DF7">
        <w:rPr>
          <w:rFonts w:ascii="Times New Roman" w:hAnsi="Times New Roman" w:cs="Times New Roman"/>
        </w:rPr>
        <w:t>, discussed</w:t>
      </w:r>
      <w:r>
        <w:rPr>
          <w:rFonts w:ascii="Times New Roman" w:hAnsi="Times New Roman" w:cs="Times New Roman"/>
        </w:rPr>
        <w:t xml:space="preserve"> the </w:t>
      </w:r>
      <w:r w:rsidR="00A61DF7">
        <w:rPr>
          <w:rFonts w:ascii="Times New Roman" w:hAnsi="Times New Roman" w:cs="Times New Roman"/>
        </w:rPr>
        <w:t>impact of this landmark in saying:</w:t>
      </w:r>
      <w:r>
        <w:rPr>
          <w:rFonts w:ascii="Times New Roman" w:hAnsi="Times New Roman" w:cs="Times New Roman"/>
        </w:rPr>
        <w:t xml:space="preserve"> </w:t>
      </w:r>
    </w:p>
    <w:p w14:paraId="2104E49E" w14:textId="44843978" w:rsidR="00635006" w:rsidRDefault="00635006" w:rsidP="00635006">
      <w:pPr>
        <w:spacing w:line="480" w:lineRule="auto"/>
        <w:ind w:left="720" w:right="720"/>
        <w:rPr>
          <w:rFonts w:ascii="Times New Roman" w:hAnsi="Times New Roman" w:cs="Times New Roman"/>
        </w:rPr>
      </w:pPr>
      <w:r>
        <w:rPr>
          <w:rFonts w:ascii="Times New Roman" w:hAnsi="Times New Roman" w:cs="Times New Roman"/>
        </w:rPr>
        <w:t xml:space="preserve">Not only did the amendment void state laws that limited women’s suffrage, </w:t>
      </w:r>
      <w:proofErr w:type="gramStart"/>
      <w:r>
        <w:rPr>
          <w:rFonts w:ascii="Times New Roman" w:hAnsi="Times New Roman" w:cs="Times New Roman"/>
        </w:rPr>
        <w:t>but</w:t>
      </w:r>
      <w:proofErr w:type="gramEnd"/>
      <w:r>
        <w:rPr>
          <w:rFonts w:ascii="Times New Roman" w:hAnsi="Times New Roman" w:cs="Times New Roman"/>
        </w:rPr>
        <w:t xml:space="preserve"> it was the first constitutional protection specific to women. It had been over a hundred years since the colonists had demanded popular sovereignty from their British king; finally, women were included in the privileges granted by nati</w:t>
      </w:r>
      <w:r w:rsidR="00A61DF7">
        <w:rPr>
          <w:rFonts w:ascii="Times New Roman" w:hAnsi="Times New Roman" w:cs="Times New Roman"/>
        </w:rPr>
        <w:t>onal citizenship. (2003, p. xxi)</w:t>
      </w:r>
      <w:r>
        <w:rPr>
          <w:rFonts w:ascii="Times New Roman" w:hAnsi="Times New Roman" w:cs="Times New Roman"/>
        </w:rPr>
        <w:t xml:space="preserve"> </w:t>
      </w:r>
    </w:p>
    <w:p w14:paraId="298C0413" w14:textId="79F154B3" w:rsidR="000948A0" w:rsidRDefault="000948A0" w:rsidP="000948A0">
      <w:pPr>
        <w:spacing w:line="480" w:lineRule="auto"/>
        <w:rPr>
          <w:rFonts w:ascii="Times New Roman" w:hAnsi="Times New Roman" w:cs="Times New Roman"/>
        </w:rPr>
      </w:pPr>
      <w:r>
        <w:rPr>
          <w:rFonts w:ascii="Times New Roman" w:hAnsi="Times New Roman" w:cs="Times New Roman"/>
        </w:rPr>
        <w:t>This marked a major vic</w:t>
      </w:r>
      <w:r w:rsidR="00A61DF7">
        <w:rPr>
          <w:rFonts w:ascii="Times New Roman" w:hAnsi="Times New Roman" w:cs="Times New Roman"/>
        </w:rPr>
        <w:t>tory in the woman’s movement that</w:t>
      </w:r>
      <w:r>
        <w:rPr>
          <w:rFonts w:ascii="Times New Roman" w:hAnsi="Times New Roman" w:cs="Times New Roman"/>
        </w:rPr>
        <w:t xml:space="preserve"> proved to be a significant </w:t>
      </w:r>
      <w:r w:rsidR="00DE1FDC">
        <w:rPr>
          <w:rFonts w:ascii="Times New Roman" w:hAnsi="Times New Roman" w:cs="Times New Roman"/>
        </w:rPr>
        <w:t>milestone</w:t>
      </w:r>
      <w:r>
        <w:rPr>
          <w:rFonts w:ascii="Times New Roman" w:hAnsi="Times New Roman" w:cs="Times New Roman"/>
        </w:rPr>
        <w:t xml:space="preserve"> in the struggle for gender equality. </w:t>
      </w:r>
    </w:p>
    <w:p w14:paraId="079E8FB3" w14:textId="76DFC9DE" w:rsidR="00635006" w:rsidRDefault="00635006" w:rsidP="00A61DF7">
      <w:pPr>
        <w:jc w:val="center"/>
        <w:rPr>
          <w:rFonts w:ascii="Times New Roman" w:hAnsi="Times New Roman" w:cs="Times New Roman"/>
        </w:rPr>
      </w:pPr>
      <w:r>
        <w:rPr>
          <w:rFonts w:ascii="Times New Roman" w:hAnsi="Times New Roman" w:cs="Times New Roman"/>
        </w:rPr>
        <w:t>World War II</w:t>
      </w:r>
    </w:p>
    <w:p w14:paraId="68FB79F3" w14:textId="77777777" w:rsidR="00635006" w:rsidRDefault="00635006" w:rsidP="00635006">
      <w:pPr>
        <w:rPr>
          <w:rFonts w:ascii="Times New Roman" w:hAnsi="Times New Roman" w:cs="Times New Roman"/>
        </w:rPr>
      </w:pPr>
    </w:p>
    <w:p w14:paraId="12825AC3" w14:textId="77777777"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t xml:space="preserve">The onset of World War II proved to be the catalyst for change in terms of women’s role in American society. The nature of war in and of itself is a contributing factor to the general shift in societal mores regarding women. “The dislocations of a nation at war have always created important challenges to traditional assumptions and practices” (Anderson, 1981, p. 1). Though there was potential for the immediate demands of war to lead to long-term change in cultural values, many of the advancements that occurred during the war did not continue in the decade after (Kuersten, 2003, p. xxii). </w:t>
      </w:r>
    </w:p>
    <w:p w14:paraId="7CB6793D" w14:textId="7324B9F0" w:rsidR="00DE1FDC" w:rsidRDefault="00635006" w:rsidP="00635006">
      <w:pPr>
        <w:spacing w:line="480" w:lineRule="auto"/>
        <w:ind w:firstLine="720"/>
        <w:rPr>
          <w:rFonts w:ascii="Times New Roman" w:hAnsi="Times New Roman" w:cs="Times New Roman"/>
        </w:rPr>
      </w:pPr>
      <w:r>
        <w:rPr>
          <w:rFonts w:ascii="Times New Roman" w:hAnsi="Times New Roman" w:cs="Times New Roman"/>
        </w:rPr>
        <w:t>As men were deployed to f</w:t>
      </w:r>
      <w:r w:rsidR="00A61DF7">
        <w:rPr>
          <w:rFonts w:ascii="Times New Roman" w:hAnsi="Times New Roman" w:cs="Times New Roman"/>
        </w:rPr>
        <w:t>ight overseas in the early 1940</w:t>
      </w:r>
      <w:r>
        <w:rPr>
          <w:rFonts w:ascii="Times New Roman" w:hAnsi="Times New Roman" w:cs="Times New Roman"/>
        </w:rPr>
        <w:t xml:space="preserve">s, the workforce needed to be sustained by the women at home. In order to provide both the materials needed to successfully engage in war while still meeting civilian needs, “women…assumed economic roles traditionally ascribed to men” (Anderson, 1981, p. 1). A number of </w:t>
      </w:r>
      <w:r>
        <w:rPr>
          <w:rFonts w:ascii="Times New Roman" w:hAnsi="Times New Roman" w:cs="Times New Roman"/>
        </w:rPr>
        <w:lastRenderedPageBreak/>
        <w:t xml:space="preserve">organizations including the American government joined in a </w:t>
      </w:r>
      <w:proofErr w:type="gramStart"/>
      <w:r>
        <w:rPr>
          <w:rFonts w:ascii="Times New Roman" w:hAnsi="Times New Roman" w:cs="Times New Roman"/>
        </w:rPr>
        <w:t>campaign imploring</w:t>
      </w:r>
      <w:proofErr w:type="gramEnd"/>
      <w:r>
        <w:rPr>
          <w:rFonts w:ascii="Times New Roman" w:hAnsi="Times New Roman" w:cs="Times New Roman"/>
        </w:rPr>
        <w:t xml:space="preserve"> women to answer the call of their country. </w:t>
      </w:r>
    </w:p>
    <w:p w14:paraId="2DE0AB81" w14:textId="6B600462"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t>Women responded in staggering numbers. “At the wartime peak in July of 1944, 19 million women were employed, an increase of 47 percent over the March 1940 level” (Anderson, 1981, p. 2). There is more to be discovered in</w:t>
      </w:r>
      <w:r w:rsidR="00A61DF7">
        <w:rPr>
          <w:rFonts w:ascii="Times New Roman" w:hAnsi="Times New Roman" w:cs="Times New Roman"/>
        </w:rPr>
        <w:t xml:space="preserve"> this shift than just numbers; a</w:t>
      </w:r>
      <w:r>
        <w:rPr>
          <w:rFonts w:ascii="Times New Roman" w:hAnsi="Times New Roman" w:cs="Times New Roman"/>
        </w:rPr>
        <w:t xml:space="preserve"> closer look at the composition of the women’s labor force reveals that, due to the level of need, the number of working women did not only include single women. “For the first time in U.S. history, married women outnumbered single women in the female work force” (Anderson, 1981, p. 2). Between 1940 and 1944 the number of married women who were also employed “increased by 2 million, 72.2 percent of the total increase” (Anderson, 1981, p. 2). The contributions of women during World W</w:t>
      </w:r>
      <w:r w:rsidR="00A61DF7">
        <w:rPr>
          <w:rFonts w:ascii="Times New Roman" w:hAnsi="Times New Roman" w:cs="Times New Roman"/>
        </w:rPr>
        <w:t>ar Two were remarkable, but the</w:t>
      </w:r>
      <w:r>
        <w:rPr>
          <w:rFonts w:ascii="Times New Roman" w:hAnsi="Times New Roman" w:cs="Times New Roman"/>
        </w:rPr>
        <w:t xml:space="preserve"> changes of wartime subsided upon the conclusion of the War. “Rosie [the Riveter] could have been in the vanguard of social change for women</w:t>
      </w:r>
      <w:r w:rsidR="007553FB">
        <w:rPr>
          <w:rFonts w:ascii="Times New Roman" w:hAnsi="Times New Roman" w:cs="Times New Roman"/>
        </w:rPr>
        <w:t>,”</w:t>
      </w:r>
      <w:r>
        <w:rPr>
          <w:rFonts w:ascii="Times New Roman" w:hAnsi="Times New Roman" w:cs="Times New Roman"/>
        </w:rPr>
        <w:t xml:space="preserve"> but, for many reasons, the momentum gained during the Second World War was short lived (Anderson, 1981, p. 1). </w:t>
      </w:r>
    </w:p>
    <w:p w14:paraId="1F204457" w14:textId="5BCBAA1F"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t>When the men returned from the service, many women were encouraged to return to their homes (Kue</w:t>
      </w:r>
      <w:r w:rsidR="00A61DF7">
        <w:rPr>
          <w:rFonts w:ascii="Times New Roman" w:hAnsi="Times New Roman" w:cs="Times New Roman"/>
        </w:rPr>
        <w:t>rsten, 2003). This exodus</w:t>
      </w:r>
      <w:r>
        <w:rPr>
          <w:rFonts w:ascii="Times New Roman" w:hAnsi="Times New Roman" w:cs="Times New Roman"/>
        </w:rPr>
        <w:t xml:space="preserve"> was</w:t>
      </w:r>
      <w:r w:rsidR="00A61DF7">
        <w:rPr>
          <w:rFonts w:ascii="Times New Roman" w:hAnsi="Times New Roman" w:cs="Times New Roman"/>
        </w:rPr>
        <w:t xml:space="preserve"> further</w:t>
      </w:r>
      <w:r>
        <w:rPr>
          <w:rFonts w:ascii="Times New Roman" w:hAnsi="Times New Roman" w:cs="Times New Roman"/>
        </w:rPr>
        <w:t xml:space="preserve"> encouraged by the dramatic increase in birth rates of the baby boom. Women left their jobs to care for their rapidly expanding families (Kuersten, 2003). </w:t>
      </w:r>
      <w:r w:rsidR="00A61DF7">
        <w:rPr>
          <w:rFonts w:ascii="Times New Roman" w:hAnsi="Times New Roman" w:cs="Times New Roman"/>
        </w:rPr>
        <w:t xml:space="preserve">Women </w:t>
      </w:r>
      <w:r>
        <w:rPr>
          <w:rFonts w:ascii="Times New Roman" w:hAnsi="Times New Roman" w:cs="Times New Roman"/>
        </w:rPr>
        <w:t xml:space="preserve">who chose to remain in the workforce were met with “seniority rankings, and preferential hiring of veterans” (Anderson, 1981, p. 7). If they were able to </w:t>
      </w:r>
      <w:r w:rsidR="00A61DF7">
        <w:rPr>
          <w:rFonts w:ascii="Times New Roman" w:hAnsi="Times New Roman" w:cs="Times New Roman"/>
        </w:rPr>
        <w:t>get</w:t>
      </w:r>
      <w:r>
        <w:rPr>
          <w:rFonts w:ascii="Times New Roman" w:hAnsi="Times New Roman" w:cs="Times New Roman"/>
        </w:rPr>
        <w:t xml:space="preserve"> or maintain employment, they did so for considerably lower wages, in positions that required significantly less skills than during the war. </w:t>
      </w:r>
      <w:proofErr w:type="gramStart"/>
      <w:r>
        <w:rPr>
          <w:rFonts w:ascii="Times New Roman" w:hAnsi="Times New Roman" w:cs="Times New Roman"/>
        </w:rPr>
        <w:t>The “</w:t>
      </w:r>
      <w:r w:rsidR="00DE1FDC">
        <w:rPr>
          <w:rFonts w:ascii="Times New Roman" w:hAnsi="Times New Roman" w:cs="Times New Roman"/>
        </w:rPr>
        <w:t>sex-</w:t>
      </w:r>
      <w:r w:rsidR="00DE1FDC">
        <w:rPr>
          <w:rFonts w:ascii="Times New Roman" w:hAnsi="Times New Roman" w:cs="Times New Roman"/>
        </w:rPr>
        <w:lastRenderedPageBreak/>
        <w:t>segregated labor market was</w:t>
      </w:r>
      <w:r w:rsidR="00A61DF7">
        <w:rPr>
          <w:rFonts w:ascii="Times New Roman" w:hAnsi="Times New Roman" w:cs="Times New Roman"/>
        </w:rPr>
        <w:t xml:space="preserve"> successfully</w:t>
      </w:r>
      <w:r w:rsidR="00DE1FDC">
        <w:rPr>
          <w:rFonts w:ascii="Times New Roman" w:hAnsi="Times New Roman" w:cs="Times New Roman"/>
        </w:rPr>
        <w:t xml:space="preserve"> </w:t>
      </w:r>
      <w:r>
        <w:rPr>
          <w:rFonts w:ascii="Times New Roman" w:hAnsi="Times New Roman" w:cs="Times New Roman"/>
        </w:rPr>
        <w:t>re-established during the reconversion period” (Anderson, 1981, p. 7).</w:t>
      </w:r>
      <w:proofErr w:type="gramEnd"/>
      <w:r>
        <w:rPr>
          <w:rFonts w:ascii="Times New Roman" w:hAnsi="Times New Roman" w:cs="Times New Roman"/>
        </w:rPr>
        <w:t xml:space="preserve"> </w:t>
      </w:r>
    </w:p>
    <w:p w14:paraId="33EA743B" w14:textId="487C20EE"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t>Much of the propaganda used to mobilize the female work force during the war “stressed ideological continuity. The appeals used…emphasized the temporary and aberrant nature of the situation” (Anderson, 1981, p. 10). Ultimately, this allowed the general public to accept the change in female employment without it fundamentally challenging what people believed of women’s roles. Any reformation on an ideological level</w:t>
      </w:r>
      <w:r w:rsidR="00A61DF7">
        <w:rPr>
          <w:rFonts w:ascii="Times New Roman" w:hAnsi="Times New Roman" w:cs="Times New Roman"/>
        </w:rPr>
        <w:t xml:space="preserve"> was met with fierce opposition:</w:t>
      </w:r>
      <w:r>
        <w:rPr>
          <w:rFonts w:ascii="Times New Roman" w:hAnsi="Times New Roman" w:cs="Times New Roman"/>
        </w:rPr>
        <w:t xml:space="preserve"> </w:t>
      </w:r>
    </w:p>
    <w:p w14:paraId="4479BEDE" w14:textId="191793E8" w:rsidR="00635006" w:rsidRDefault="00635006" w:rsidP="00635006">
      <w:pPr>
        <w:spacing w:line="480" w:lineRule="auto"/>
        <w:ind w:left="720" w:right="720"/>
        <w:rPr>
          <w:rFonts w:ascii="Times New Roman" w:hAnsi="Times New Roman" w:cs="Times New Roman"/>
        </w:rPr>
      </w:pPr>
      <w:r>
        <w:rPr>
          <w:rFonts w:ascii="Times New Roman" w:hAnsi="Times New Roman" w:cs="Times New Roman"/>
        </w:rPr>
        <w:t>The changes in women’s roles caused by the war created considerable anxiety about the stability and durability of the family, as working mothers were blamed by many for a rising divorce rate, child neglect… and a host of other ills supposedly exacerbated by women’s newly acquired independe</w:t>
      </w:r>
      <w:r w:rsidR="00A61DF7">
        <w:rPr>
          <w:rFonts w:ascii="Times New Roman" w:hAnsi="Times New Roman" w:cs="Times New Roman"/>
        </w:rPr>
        <w:t>nce. (Anderson, 1981, p. 10)</w:t>
      </w:r>
      <w:r>
        <w:rPr>
          <w:rFonts w:ascii="Times New Roman" w:hAnsi="Times New Roman" w:cs="Times New Roman"/>
        </w:rPr>
        <w:t xml:space="preserve"> </w:t>
      </w:r>
    </w:p>
    <w:p w14:paraId="4B38A302" w14:textId="37831D5D" w:rsidR="00DE1FDC" w:rsidRDefault="00635006" w:rsidP="00635006">
      <w:pPr>
        <w:spacing w:line="480" w:lineRule="auto"/>
        <w:ind w:firstLine="720"/>
        <w:rPr>
          <w:rFonts w:ascii="Times New Roman" w:hAnsi="Times New Roman" w:cs="Times New Roman"/>
        </w:rPr>
      </w:pPr>
      <w:r>
        <w:rPr>
          <w:rFonts w:ascii="Times New Roman" w:hAnsi="Times New Roman" w:cs="Times New Roman"/>
        </w:rPr>
        <w:t>The resistance to allow too much female progression is reflected in a number of co</w:t>
      </w:r>
      <w:r w:rsidR="00A61DF7">
        <w:rPr>
          <w:rFonts w:ascii="Times New Roman" w:hAnsi="Times New Roman" w:cs="Times New Roman"/>
        </w:rPr>
        <w:t>urt decisions in the early 1950</w:t>
      </w:r>
      <w:r>
        <w:rPr>
          <w:rFonts w:ascii="Times New Roman" w:hAnsi="Times New Roman" w:cs="Times New Roman"/>
        </w:rPr>
        <w:t xml:space="preserve">s. In the case of </w:t>
      </w:r>
      <w:r w:rsidRPr="00C50C67">
        <w:rPr>
          <w:rFonts w:ascii="Times New Roman" w:hAnsi="Times New Roman" w:cs="Times New Roman"/>
          <w:i/>
        </w:rPr>
        <w:t>Bonanno v. Bonanno</w:t>
      </w:r>
      <w:r w:rsidR="00A61DF7">
        <w:rPr>
          <w:rFonts w:ascii="Times New Roman" w:hAnsi="Times New Roman" w:cs="Times New Roman"/>
        </w:rPr>
        <w:t xml:space="preserve"> (</w:t>
      </w:r>
      <w:r>
        <w:rPr>
          <w:rFonts w:ascii="Times New Roman" w:hAnsi="Times New Roman" w:cs="Times New Roman"/>
        </w:rPr>
        <w:t>1950</w:t>
      </w:r>
      <w:r w:rsidR="00A61DF7">
        <w:rPr>
          <w:rFonts w:ascii="Times New Roman" w:hAnsi="Times New Roman" w:cs="Times New Roman"/>
        </w:rPr>
        <w:t>)</w:t>
      </w:r>
      <w:r>
        <w:rPr>
          <w:rFonts w:ascii="Times New Roman" w:hAnsi="Times New Roman" w:cs="Times New Roman"/>
        </w:rPr>
        <w:t>, the Supreme Court of New Jersey almost directly affirms Blackstone’s early writings in establishing the husband as his wife’s keeper (Kanowitz</w:t>
      </w:r>
      <w:r w:rsidR="00E41594">
        <w:rPr>
          <w:rFonts w:ascii="Times New Roman" w:hAnsi="Times New Roman" w:cs="Times New Roman"/>
        </w:rPr>
        <w:t>, 1973</w:t>
      </w:r>
      <w:r>
        <w:rPr>
          <w:rFonts w:ascii="Times New Roman" w:hAnsi="Times New Roman" w:cs="Times New Roman"/>
        </w:rPr>
        <w:t>). The separated, but stil</w:t>
      </w:r>
      <w:r w:rsidR="00C50C67">
        <w:rPr>
          <w:rFonts w:ascii="Times New Roman" w:hAnsi="Times New Roman" w:cs="Times New Roman"/>
        </w:rPr>
        <w:t>l married, couple was</w:t>
      </w:r>
      <w:r>
        <w:rPr>
          <w:rFonts w:ascii="Times New Roman" w:hAnsi="Times New Roman" w:cs="Times New Roman"/>
        </w:rPr>
        <w:t xml:space="preserve"> disputing the amount of alimony that should be considered acceptable given the husband’s income and employment status. </w:t>
      </w:r>
    </w:p>
    <w:p w14:paraId="0D9C36C6" w14:textId="56D251CD"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t xml:space="preserve">Justice Ackerson delivered the opinion of the court stating, “The fundamental duty imposed by the common law upon a husband has long been recognized and enforced in this state. The duty to support and maintain his wife is the husband’s primary obligation…” </w:t>
      </w:r>
      <w:proofErr w:type="gramStart"/>
      <w:r>
        <w:rPr>
          <w:rFonts w:ascii="Times New Roman" w:hAnsi="Times New Roman" w:cs="Times New Roman"/>
        </w:rPr>
        <w:t>(Kanowitz, 1973, p. 64).</w:t>
      </w:r>
      <w:proofErr w:type="gramEnd"/>
      <w:r>
        <w:rPr>
          <w:rFonts w:ascii="Times New Roman" w:hAnsi="Times New Roman" w:cs="Times New Roman"/>
        </w:rPr>
        <w:t xml:space="preserve"> Not only does the justice directly affirm the </w:t>
      </w:r>
      <w:r>
        <w:rPr>
          <w:rFonts w:ascii="Times New Roman" w:hAnsi="Times New Roman" w:cs="Times New Roman"/>
        </w:rPr>
        <w:lastRenderedPageBreak/>
        <w:t xml:space="preserve">common law tradition, he also addresses and discredits the progress made in this area. He continues to say, “The Married Women’s Act, giving a wife rights which she did not formerly enjoy at common law, has not changed the common law duty of her husband to provide her with adequate support… such duty still devolves upon the husband” (Kanowitz, 1973, p. 65). </w:t>
      </w:r>
    </w:p>
    <w:p w14:paraId="3CEE0187" w14:textId="3A32CE1F"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t>While it may seem that requiring a husband to pay alimony is a victory for women, the implications of this ruling actually do more to inhibit women from advancing in terms of equality. In her article</w:t>
      </w:r>
      <w:r w:rsidR="007553FB">
        <w:rPr>
          <w:rFonts w:ascii="Times New Roman" w:hAnsi="Times New Roman" w:cs="Times New Roman"/>
        </w:rPr>
        <w:t>,</w:t>
      </w:r>
      <w:r>
        <w:rPr>
          <w:rFonts w:ascii="Times New Roman" w:hAnsi="Times New Roman" w:cs="Times New Roman"/>
        </w:rPr>
        <w:t xml:space="preserve"> “Women as Property”, </w:t>
      </w:r>
      <w:r w:rsidR="007553FB">
        <w:rPr>
          <w:rFonts w:ascii="Times New Roman" w:hAnsi="Times New Roman" w:cs="Times New Roman"/>
        </w:rPr>
        <w:t xml:space="preserve">feminist activist </w:t>
      </w:r>
      <w:r>
        <w:rPr>
          <w:rFonts w:ascii="Times New Roman" w:hAnsi="Times New Roman" w:cs="Times New Roman"/>
        </w:rPr>
        <w:t>Vern</w:t>
      </w:r>
      <w:r w:rsidR="00A61DF7">
        <w:rPr>
          <w:rFonts w:ascii="Times New Roman" w:hAnsi="Times New Roman" w:cs="Times New Roman"/>
        </w:rPr>
        <w:t>a Tomasson addressed</w:t>
      </w:r>
      <w:r w:rsidR="00DE1FDC">
        <w:rPr>
          <w:rFonts w:ascii="Times New Roman" w:hAnsi="Times New Roman" w:cs="Times New Roman"/>
        </w:rPr>
        <w:t xml:space="preserve"> the connotations</w:t>
      </w:r>
      <w:r w:rsidR="00A61DF7">
        <w:rPr>
          <w:rFonts w:ascii="Times New Roman" w:hAnsi="Times New Roman" w:cs="Times New Roman"/>
        </w:rPr>
        <w:t xml:space="preserve"> of alimony directly, saying:</w:t>
      </w:r>
      <w:r>
        <w:rPr>
          <w:rFonts w:ascii="Times New Roman" w:hAnsi="Times New Roman" w:cs="Times New Roman"/>
        </w:rPr>
        <w:t xml:space="preserve"> </w:t>
      </w:r>
    </w:p>
    <w:p w14:paraId="11BD6958" w14:textId="3424B65E" w:rsidR="00635006" w:rsidRDefault="00635006" w:rsidP="00635006">
      <w:pPr>
        <w:spacing w:line="480" w:lineRule="auto"/>
        <w:ind w:left="720" w:right="720"/>
        <w:rPr>
          <w:rFonts w:ascii="Times New Roman" w:hAnsi="Times New Roman" w:cs="Times New Roman"/>
        </w:rPr>
      </w:pPr>
      <w:r>
        <w:rPr>
          <w:rFonts w:ascii="Times New Roman" w:hAnsi="Times New Roman" w:cs="Times New Roman"/>
        </w:rPr>
        <w:t>The concept of alimony is an insult to women. It does not represent payment for household labor done. It represents a concession to the fact that men and women do not have equal opportunities for employment…. Alimony says ‘here, you poor, helpless, unqualified, and useless person, take this</w:t>
      </w:r>
      <w:r w:rsidR="00A61DF7">
        <w:rPr>
          <w:rFonts w:ascii="Times New Roman" w:hAnsi="Times New Roman" w:cs="Times New Roman"/>
        </w:rPr>
        <w:t>.</w:t>
      </w:r>
      <w:r>
        <w:rPr>
          <w:rFonts w:ascii="Times New Roman" w:hAnsi="Times New Roman" w:cs="Times New Roman"/>
        </w:rPr>
        <w:t xml:space="preserve"> (1970</w:t>
      </w:r>
      <w:r w:rsidR="00A61DF7">
        <w:rPr>
          <w:rFonts w:ascii="Times New Roman" w:hAnsi="Times New Roman" w:cs="Times New Roman"/>
        </w:rPr>
        <w:t>, p. 1)</w:t>
      </w:r>
    </w:p>
    <w:p w14:paraId="2A7F0B85" w14:textId="0A3AAD20" w:rsidR="00635006" w:rsidRDefault="00635006" w:rsidP="00635006">
      <w:pPr>
        <w:spacing w:line="480" w:lineRule="auto"/>
        <w:rPr>
          <w:rFonts w:ascii="Times New Roman" w:hAnsi="Times New Roman" w:cs="Times New Roman"/>
        </w:rPr>
      </w:pPr>
      <w:r>
        <w:rPr>
          <w:rFonts w:ascii="Times New Roman" w:hAnsi="Times New Roman" w:cs="Times New Roman"/>
        </w:rPr>
        <w:tab/>
        <w:t xml:space="preserve">The courts again impeded the progression of women beyond </w:t>
      </w:r>
      <w:r w:rsidR="00F71B6C">
        <w:rPr>
          <w:rFonts w:ascii="Times New Roman" w:hAnsi="Times New Roman" w:cs="Times New Roman"/>
        </w:rPr>
        <w:t>their</w:t>
      </w:r>
      <w:r>
        <w:rPr>
          <w:rFonts w:ascii="Times New Roman" w:hAnsi="Times New Roman" w:cs="Times New Roman"/>
        </w:rPr>
        <w:t xml:space="preserve"> conventional gender roles in 1956. The case of </w:t>
      </w:r>
      <w:r w:rsidRPr="00C50C67">
        <w:rPr>
          <w:rFonts w:ascii="Times New Roman" w:hAnsi="Times New Roman" w:cs="Times New Roman"/>
          <w:i/>
        </w:rPr>
        <w:t>State v. Hunter</w:t>
      </w:r>
      <w:r>
        <w:rPr>
          <w:rFonts w:ascii="Times New Roman" w:hAnsi="Times New Roman" w:cs="Times New Roman"/>
        </w:rPr>
        <w:t xml:space="preserve"> involved a woman who competed in a wrestling competition. The district attorney accused Ms. Hunter of knowingly violating the “peace and dignity of the State of Oregon” by participating in the wrestling match even though she was not a man (Kanowitz, 1973, p. 49). In delivering the opinion of the Supreme Court </w:t>
      </w:r>
      <w:r w:rsidR="00A61DF7">
        <w:rPr>
          <w:rFonts w:ascii="Times New Roman" w:hAnsi="Times New Roman" w:cs="Times New Roman"/>
        </w:rPr>
        <w:t xml:space="preserve">of Oregon, Justice </w:t>
      </w:r>
      <w:proofErr w:type="spellStart"/>
      <w:r w:rsidR="00A61DF7">
        <w:rPr>
          <w:rFonts w:ascii="Times New Roman" w:hAnsi="Times New Roman" w:cs="Times New Roman"/>
        </w:rPr>
        <w:t>Tooze</w:t>
      </w:r>
      <w:proofErr w:type="spellEnd"/>
      <w:r w:rsidR="00A61DF7">
        <w:rPr>
          <w:rFonts w:ascii="Times New Roman" w:hAnsi="Times New Roman" w:cs="Times New Roman"/>
        </w:rPr>
        <w:t xml:space="preserve"> revealed</w:t>
      </w:r>
      <w:r>
        <w:rPr>
          <w:rFonts w:ascii="Times New Roman" w:hAnsi="Times New Roman" w:cs="Times New Roman"/>
        </w:rPr>
        <w:t xml:space="preserve"> a staggering level of contempt towards the progress of females beyond trad</w:t>
      </w:r>
      <w:r w:rsidR="00A61DF7">
        <w:rPr>
          <w:rFonts w:ascii="Times New Roman" w:hAnsi="Times New Roman" w:cs="Times New Roman"/>
        </w:rPr>
        <w:t>itional gender roles. He defended</w:t>
      </w:r>
      <w:r>
        <w:rPr>
          <w:rFonts w:ascii="Times New Roman" w:hAnsi="Times New Roman" w:cs="Times New Roman"/>
        </w:rPr>
        <w:t xml:space="preserve"> the conviction of</w:t>
      </w:r>
      <w:r w:rsidR="00A61DF7">
        <w:rPr>
          <w:rFonts w:ascii="Times New Roman" w:hAnsi="Times New Roman" w:cs="Times New Roman"/>
        </w:rPr>
        <w:t xml:space="preserve"> Ms. Hunter by the lower courts in his decision:</w:t>
      </w:r>
      <w:r>
        <w:rPr>
          <w:rFonts w:ascii="Times New Roman" w:hAnsi="Times New Roman" w:cs="Times New Roman"/>
        </w:rPr>
        <w:t xml:space="preserve"> </w:t>
      </w:r>
    </w:p>
    <w:p w14:paraId="66E9A9C8" w14:textId="7E452C35" w:rsidR="00635006" w:rsidRDefault="00635006" w:rsidP="00635006">
      <w:pPr>
        <w:spacing w:line="480" w:lineRule="auto"/>
        <w:ind w:left="720" w:right="720"/>
        <w:rPr>
          <w:rFonts w:ascii="Times New Roman" w:hAnsi="Times New Roman" w:cs="Times New Roman"/>
        </w:rPr>
      </w:pPr>
      <w:r>
        <w:rPr>
          <w:rFonts w:ascii="Times New Roman" w:hAnsi="Times New Roman" w:cs="Times New Roman"/>
        </w:rPr>
        <w:lastRenderedPageBreak/>
        <w:t>Obviously it intended that there should be at least one island on the sea of life reserved for man that would be impregnable to the assault of woman. It had watched her emerge from long tresses and demure ways to bobbed hair and almost complete sophistication</w:t>
      </w:r>
      <w:proofErr w:type="gramStart"/>
      <w:r>
        <w:rPr>
          <w:rFonts w:ascii="Times New Roman" w:hAnsi="Times New Roman" w:cs="Times New Roman"/>
        </w:rPr>
        <w:t>;</w:t>
      </w:r>
      <w:proofErr w:type="gramEnd"/>
      <w:r>
        <w:rPr>
          <w:rFonts w:ascii="Times New Roman" w:hAnsi="Times New Roman" w:cs="Times New Roman"/>
        </w:rPr>
        <w:t xml:space="preserve"> from a creature needing and depending upon the protection and chivalry of man to one asserting complete independence. She had already invaded practically every activity formerly considered suitable and appropriate for men only… in the field of sports… in the business and industrial fields…in politics, as well as in almost every other human endeavor, she had matched her wits and prowess with those of man, and, we are frank to concede, in many instances outdone him. In these circumstances, is it any wonder that the legislative assembly took advantage of the police power of the state in its decision to halt this ever increasing feminine encroachment…was the act unjust… have her civil or political rights been unconstitutionally denied? Under the current circumstances, we think</w:t>
      </w:r>
      <w:r w:rsidR="00E53268">
        <w:rPr>
          <w:rFonts w:ascii="Times New Roman" w:hAnsi="Times New Roman" w:cs="Times New Roman"/>
        </w:rPr>
        <w:t xml:space="preserve"> not. (Kanowitz, 1973, p. 50-51)</w:t>
      </w:r>
      <w:r>
        <w:rPr>
          <w:rFonts w:ascii="Times New Roman" w:hAnsi="Times New Roman" w:cs="Times New Roman"/>
        </w:rPr>
        <w:t xml:space="preserve"> </w:t>
      </w:r>
    </w:p>
    <w:p w14:paraId="2D234DE6" w14:textId="4DE83C33" w:rsidR="00635006" w:rsidRDefault="00635006" w:rsidP="00DE1FDC">
      <w:pPr>
        <w:spacing w:line="480" w:lineRule="auto"/>
        <w:ind w:firstLine="720"/>
        <w:rPr>
          <w:rFonts w:ascii="Times New Roman" w:hAnsi="Times New Roman" w:cs="Times New Roman"/>
        </w:rPr>
      </w:pPr>
      <w:r>
        <w:rPr>
          <w:rFonts w:ascii="Times New Roman" w:hAnsi="Times New Roman" w:cs="Times New Roman"/>
        </w:rPr>
        <w:t>This period in American history showed significant promise as an opportunity for women to advance in a wide range of area</w:t>
      </w:r>
      <w:r w:rsidR="00DE1FDC">
        <w:rPr>
          <w:rFonts w:ascii="Times New Roman" w:hAnsi="Times New Roman" w:cs="Times New Roman"/>
        </w:rPr>
        <w:t xml:space="preserve">s from education to employment. </w:t>
      </w:r>
      <w:r>
        <w:rPr>
          <w:rFonts w:ascii="Times New Roman" w:hAnsi="Times New Roman" w:cs="Times New Roman"/>
        </w:rPr>
        <w:t xml:space="preserve">Unfortunately, the progress of women was continually met with resistance and a commitment to those foundational values that kept women inferior socially, </w:t>
      </w:r>
      <w:r w:rsidR="00A61DF7">
        <w:rPr>
          <w:rFonts w:ascii="Times New Roman" w:hAnsi="Times New Roman" w:cs="Times New Roman"/>
        </w:rPr>
        <w:t xml:space="preserve">legally, </w:t>
      </w:r>
      <w:r>
        <w:rPr>
          <w:rFonts w:ascii="Times New Roman" w:hAnsi="Times New Roman" w:cs="Times New Roman"/>
        </w:rPr>
        <w:t xml:space="preserve">economically, and politically. </w:t>
      </w:r>
    </w:p>
    <w:p w14:paraId="75728FE5" w14:textId="6214509A" w:rsidR="00635006" w:rsidRDefault="00635006" w:rsidP="00A61DF7">
      <w:pPr>
        <w:jc w:val="center"/>
        <w:rPr>
          <w:rFonts w:ascii="Times New Roman" w:hAnsi="Times New Roman" w:cs="Times New Roman"/>
        </w:rPr>
      </w:pPr>
      <w:r>
        <w:rPr>
          <w:rFonts w:ascii="Times New Roman" w:hAnsi="Times New Roman" w:cs="Times New Roman"/>
        </w:rPr>
        <w:t>Second Wave Feminism</w:t>
      </w:r>
    </w:p>
    <w:p w14:paraId="470735B5" w14:textId="77777777" w:rsidR="00635006" w:rsidRDefault="00635006" w:rsidP="00635006">
      <w:pPr>
        <w:jc w:val="center"/>
        <w:rPr>
          <w:rFonts w:ascii="Times New Roman" w:hAnsi="Times New Roman" w:cs="Times New Roman"/>
        </w:rPr>
      </w:pPr>
    </w:p>
    <w:p w14:paraId="7AA441C8" w14:textId="1794E405" w:rsidR="00635006" w:rsidRDefault="00A61DF7" w:rsidP="00635006">
      <w:pPr>
        <w:spacing w:line="480" w:lineRule="auto"/>
        <w:rPr>
          <w:rFonts w:ascii="Times New Roman" w:hAnsi="Times New Roman" w:cs="Times New Roman"/>
        </w:rPr>
      </w:pPr>
      <w:r>
        <w:rPr>
          <w:rFonts w:ascii="Times New Roman" w:hAnsi="Times New Roman" w:cs="Times New Roman"/>
        </w:rPr>
        <w:tab/>
        <w:t>In the final years of the 1950</w:t>
      </w:r>
      <w:r w:rsidR="00635006">
        <w:rPr>
          <w:rFonts w:ascii="Times New Roman" w:hAnsi="Times New Roman" w:cs="Times New Roman"/>
        </w:rPr>
        <w:t xml:space="preserve">s, the Civil Rights Movement was just beginning in America. This movement helped inspire the re-emergence of an organized women’s </w:t>
      </w:r>
      <w:r w:rsidR="00635006">
        <w:rPr>
          <w:rFonts w:ascii="Times New Roman" w:hAnsi="Times New Roman" w:cs="Times New Roman"/>
        </w:rPr>
        <w:lastRenderedPageBreak/>
        <w:t xml:space="preserve">movement. Many proponents for women’s rights were inspired by the strategy used in the Civil Rights Movement to elicit </w:t>
      </w:r>
      <w:r>
        <w:rPr>
          <w:rFonts w:ascii="Times New Roman" w:hAnsi="Times New Roman" w:cs="Times New Roman"/>
        </w:rPr>
        <w:t>dramatic changes in legislation</w:t>
      </w:r>
      <w:r w:rsidR="00635006">
        <w:rPr>
          <w:rFonts w:ascii="Times New Roman" w:hAnsi="Times New Roman" w:cs="Times New Roman"/>
        </w:rPr>
        <w:t xml:space="preserve"> (Kuersten, 2003). The National Association for the Advancement of Colored People </w:t>
      </w:r>
      <w:r>
        <w:rPr>
          <w:rFonts w:ascii="Times New Roman" w:hAnsi="Times New Roman" w:cs="Times New Roman"/>
        </w:rPr>
        <w:t xml:space="preserve">(NAACP) </w:t>
      </w:r>
      <w:r w:rsidR="00635006">
        <w:rPr>
          <w:rFonts w:ascii="Times New Roman" w:hAnsi="Times New Roman" w:cs="Times New Roman"/>
        </w:rPr>
        <w:t xml:space="preserve">“embarked on an expansive judicial interpretation of existing constitutional rights” as opposed to financially funding lobbying efforts (Kuersten, 2003, p. xxii). This gave women </w:t>
      </w:r>
      <w:r>
        <w:rPr>
          <w:rFonts w:ascii="Times New Roman" w:hAnsi="Times New Roman" w:cs="Times New Roman"/>
        </w:rPr>
        <w:t>a method to emulate in the 1960</w:t>
      </w:r>
      <w:r w:rsidR="00635006">
        <w:rPr>
          <w:rFonts w:ascii="Times New Roman" w:hAnsi="Times New Roman" w:cs="Times New Roman"/>
        </w:rPr>
        <w:t xml:space="preserve">s as the voice of the women’s movement finally began to unify (Kuersten, 2003, p. xxii). </w:t>
      </w:r>
    </w:p>
    <w:p w14:paraId="0A7C9E7B" w14:textId="3A213A53" w:rsidR="00635006" w:rsidRDefault="00A61DF7" w:rsidP="00635006">
      <w:pPr>
        <w:spacing w:line="480" w:lineRule="auto"/>
        <w:rPr>
          <w:rFonts w:ascii="Times New Roman" w:hAnsi="Times New Roman" w:cs="Times New Roman"/>
        </w:rPr>
      </w:pPr>
      <w:r>
        <w:rPr>
          <w:rFonts w:ascii="Times New Roman" w:hAnsi="Times New Roman" w:cs="Times New Roman"/>
        </w:rPr>
        <w:tab/>
        <w:t>The 1960</w:t>
      </w:r>
      <w:r w:rsidR="00635006">
        <w:rPr>
          <w:rFonts w:ascii="Times New Roman" w:hAnsi="Times New Roman" w:cs="Times New Roman"/>
        </w:rPr>
        <w:t xml:space="preserve">s began with significant changes for women. Major advancements in contraceptives took place in 1960 with the creation of the world’s first birth control pill (Kuersten, 2003). The following year, President Kennedy held a Commission on the Status of Women. The Commission primarily conducted national research on the status of women, </w:t>
      </w:r>
      <w:r>
        <w:rPr>
          <w:rFonts w:ascii="Times New Roman" w:hAnsi="Times New Roman" w:cs="Times New Roman"/>
        </w:rPr>
        <w:t>and gave</w:t>
      </w:r>
      <w:r w:rsidR="00635006">
        <w:rPr>
          <w:rFonts w:ascii="Times New Roman" w:hAnsi="Times New Roman" w:cs="Times New Roman"/>
        </w:rPr>
        <w:t xml:space="preserve"> many women the opportunity to be heard on a national scale (Kuersten, 2003). </w:t>
      </w:r>
    </w:p>
    <w:p w14:paraId="3EFF2328" w14:textId="4F17B7C6" w:rsidR="00DE1FDC" w:rsidRDefault="00635006" w:rsidP="00635006">
      <w:pPr>
        <w:spacing w:line="480" w:lineRule="auto"/>
        <w:rPr>
          <w:rFonts w:ascii="Times New Roman" w:hAnsi="Times New Roman" w:cs="Times New Roman"/>
        </w:rPr>
      </w:pPr>
      <w:r>
        <w:rPr>
          <w:rFonts w:ascii="Times New Roman" w:hAnsi="Times New Roman" w:cs="Times New Roman"/>
        </w:rPr>
        <w:tab/>
        <w:t>In 1963</w:t>
      </w:r>
      <w:r w:rsidR="00A61DF7">
        <w:rPr>
          <w:rFonts w:ascii="Times New Roman" w:hAnsi="Times New Roman" w:cs="Times New Roman"/>
        </w:rPr>
        <w:t>,</w:t>
      </w:r>
      <w:r>
        <w:rPr>
          <w:rFonts w:ascii="Times New Roman" w:hAnsi="Times New Roman" w:cs="Times New Roman"/>
        </w:rPr>
        <w:t xml:space="preserve"> Betty Friedan wrote </w:t>
      </w:r>
      <w:r>
        <w:rPr>
          <w:rFonts w:ascii="Times New Roman" w:hAnsi="Times New Roman" w:cs="Times New Roman"/>
          <w:i/>
        </w:rPr>
        <w:t xml:space="preserve">The Feminine Mystique, </w:t>
      </w:r>
      <w:r>
        <w:rPr>
          <w:rFonts w:ascii="Times New Roman" w:hAnsi="Times New Roman" w:cs="Times New Roman"/>
        </w:rPr>
        <w:t>thrusting her into the spotlight of the women’s movement</w:t>
      </w:r>
      <w:r>
        <w:rPr>
          <w:rFonts w:ascii="Times New Roman" w:hAnsi="Times New Roman" w:cs="Times New Roman"/>
          <w:i/>
        </w:rPr>
        <w:t xml:space="preserve">. </w:t>
      </w:r>
      <w:r>
        <w:rPr>
          <w:rFonts w:ascii="Times New Roman" w:hAnsi="Times New Roman" w:cs="Times New Roman"/>
        </w:rPr>
        <w:t>This book proved to be a crucial element in reorganizing the women’s movement in this decade. In an unconventional approach, Friedan did not challenge specific legislation, but rather the overall social reality of the lives of women, much of which reflected the ideals expressed in those early writings by Blackstone. She wr</w:t>
      </w:r>
      <w:r w:rsidR="00A61DF7">
        <w:rPr>
          <w:rFonts w:ascii="Times New Roman" w:hAnsi="Times New Roman" w:cs="Times New Roman"/>
        </w:rPr>
        <w:t>ote</w:t>
      </w:r>
      <w:r>
        <w:rPr>
          <w:rFonts w:ascii="Times New Roman" w:hAnsi="Times New Roman" w:cs="Times New Roman"/>
        </w:rPr>
        <w:t>, “over and over women heard in voices of tradition… that they could desire no greater destiny than to glory in their own femininity” (Friedan, 1963, p.</w:t>
      </w:r>
      <w:r w:rsidR="00BD14E9">
        <w:rPr>
          <w:rFonts w:ascii="Times New Roman" w:hAnsi="Times New Roman" w:cs="Times New Roman"/>
        </w:rPr>
        <w:t xml:space="preserve"> </w:t>
      </w:r>
      <w:r>
        <w:rPr>
          <w:rFonts w:ascii="Times New Roman" w:hAnsi="Times New Roman" w:cs="Times New Roman"/>
        </w:rPr>
        <w:t xml:space="preserve">1). </w:t>
      </w:r>
    </w:p>
    <w:p w14:paraId="69D87BDE" w14:textId="05500820" w:rsidR="00635006" w:rsidRDefault="00635006" w:rsidP="00DE1FDC">
      <w:pPr>
        <w:spacing w:line="480" w:lineRule="auto"/>
        <w:ind w:firstLine="720"/>
        <w:rPr>
          <w:rFonts w:ascii="Times New Roman" w:hAnsi="Times New Roman" w:cs="Times New Roman"/>
        </w:rPr>
      </w:pPr>
      <w:r>
        <w:rPr>
          <w:rFonts w:ascii="Times New Roman" w:hAnsi="Times New Roman" w:cs="Times New Roman"/>
        </w:rPr>
        <w:t xml:space="preserve">Though Friedan only focused on </w:t>
      </w:r>
      <w:r w:rsidR="00F71B6C">
        <w:rPr>
          <w:rFonts w:ascii="Times New Roman" w:hAnsi="Times New Roman" w:cs="Times New Roman"/>
        </w:rPr>
        <w:t xml:space="preserve">the plight of middle class women, </w:t>
      </w:r>
      <w:r>
        <w:rPr>
          <w:rFonts w:ascii="Times New Roman" w:hAnsi="Times New Roman" w:cs="Times New Roman"/>
        </w:rPr>
        <w:t xml:space="preserve">this book struck a chord across the country, “and largely ushered in the second ‘wave’ of the </w:t>
      </w:r>
      <w:r>
        <w:rPr>
          <w:rFonts w:ascii="Times New Roman" w:hAnsi="Times New Roman" w:cs="Times New Roman"/>
        </w:rPr>
        <w:lastRenderedPageBreak/>
        <w:t>women’s movement” (Kuersten</w:t>
      </w:r>
      <w:r w:rsidR="004F48CC">
        <w:rPr>
          <w:rFonts w:ascii="Times New Roman" w:hAnsi="Times New Roman" w:cs="Times New Roman"/>
        </w:rPr>
        <w:t>, 2003, p. xxiii). Friedan opened</w:t>
      </w:r>
      <w:r>
        <w:rPr>
          <w:rFonts w:ascii="Times New Roman" w:hAnsi="Times New Roman" w:cs="Times New Roman"/>
        </w:rPr>
        <w:t xml:space="preserve"> the book by attempting to defi</w:t>
      </w:r>
      <w:r w:rsidR="004F48CC">
        <w:rPr>
          <w:rFonts w:ascii="Times New Roman" w:hAnsi="Times New Roman" w:cs="Times New Roman"/>
        </w:rPr>
        <w:t>ne what she called</w:t>
      </w:r>
      <w:r>
        <w:rPr>
          <w:rFonts w:ascii="Times New Roman" w:hAnsi="Times New Roman" w:cs="Times New Roman"/>
        </w:rPr>
        <w:t xml:space="preserve"> “th</w:t>
      </w:r>
      <w:r w:rsidR="004F48CC">
        <w:rPr>
          <w:rFonts w:ascii="Times New Roman" w:hAnsi="Times New Roman" w:cs="Times New Roman"/>
        </w:rPr>
        <w:t>e problem with no name</w:t>
      </w:r>
      <w:r w:rsidR="007553FB">
        <w:rPr>
          <w:rFonts w:ascii="Times New Roman" w:hAnsi="Times New Roman" w:cs="Times New Roman"/>
        </w:rPr>
        <w:t>,”</w:t>
      </w:r>
      <w:r w:rsidR="004F48CC">
        <w:rPr>
          <w:rFonts w:ascii="Times New Roman" w:hAnsi="Times New Roman" w:cs="Times New Roman"/>
        </w:rPr>
        <w:t xml:space="preserve"> saying:</w:t>
      </w:r>
      <w:r>
        <w:rPr>
          <w:rFonts w:ascii="Times New Roman" w:hAnsi="Times New Roman" w:cs="Times New Roman"/>
        </w:rPr>
        <w:t xml:space="preserve"> </w:t>
      </w:r>
    </w:p>
    <w:p w14:paraId="3114F3C7" w14:textId="1B25DB74" w:rsidR="00635006" w:rsidRDefault="00635006" w:rsidP="00635006">
      <w:pPr>
        <w:spacing w:line="480" w:lineRule="auto"/>
        <w:ind w:left="720" w:right="720"/>
        <w:rPr>
          <w:rFonts w:ascii="Times New Roman" w:hAnsi="Times New Roman" w:cs="Times New Roman"/>
        </w:rPr>
      </w:pPr>
      <w:r>
        <w:rPr>
          <w:rFonts w:ascii="Times New Roman" w:hAnsi="Times New Roman" w:cs="Times New Roman"/>
        </w:rPr>
        <w:t>The problem lay buried, unspoken, for many years in the minds of American women. It was a strange stirring, a sense of dissatisfaction, a yearning that women suffered in the middle of the twentieth century in the United States. Each suburban wife struggled with it alo</w:t>
      </w:r>
      <w:r w:rsidR="004F48CC">
        <w:rPr>
          <w:rFonts w:ascii="Times New Roman" w:hAnsi="Times New Roman" w:cs="Times New Roman"/>
        </w:rPr>
        <w:t>n</w:t>
      </w:r>
      <w:r>
        <w:rPr>
          <w:rFonts w:ascii="Times New Roman" w:hAnsi="Times New Roman" w:cs="Times New Roman"/>
        </w:rPr>
        <w:t>e. As she made the beds, shopped for groceries, matched slipcover material, ate peanut butter sandwiches with her children, chauffeu</w:t>
      </w:r>
      <w:r w:rsidR="004F48CC">
        <w:rPr>
          <w:rFonts w:ascii="Times New Roman" w:hAnsi="Times New Roman" w:cs="Times New Roman"/>
        </w:rPr>
        <w:t>red Cub Scouts and Brownies, lay</w:t>
      </w:r>
      <w:r>
        <w:rPr>
          <w:rFonts w:ascii="Times New Roman" w:hAnsi="Times New Roman" w:cs="Times New Roman"/>
        </w:rPr>
        <w:t xml:space="preserve"> beside her husband at night – she was afraid to ask even of herself the silent question – is this all? (1963, </w:t>
      </w:r>
      <w:r w:rsidR="004F48CC">
        <w:rPr>
          <w:rFonts w:ascii="Times New Roman" w:hAnsi="Times New Roman" w:cs="Times New Roman"/>
        </w:rPr>
        <w:t xml:space="preserve">p. </w:t>
      </w:r>
      <w:r>
        <w:rPr>
          <w:rFonts w:ascii="Times New Roman" w:hAnsi="Times New Roman" w:cs="Times New Roman"/>
        </w:rPr>
        <w:t>1)</w:t>
      </w:r>
    </w:p>
    <w:p w14:paraId="0BD8E400" w14:textId="775B8797" w:rsidR="00635006" w:rsidRDefault="00635006" w:rsidP="00635006">
      <w:pPr>
        <w:spacing w:line="480" w:lineRule="auto"/>
        <w:rPr>
          <w:rFonts w:ascii="Times New Roman" w:hAnsi="Times New Roman" w:cs="Times New Roman"/>
        </w:rPr>
      </w:pPr>
      <w:r>
        <w:rPr>
          <w:rFonts w:ascii="Times New Roman" w:hAnsi="Times New Roman" w:cs="Times New Roman"/>
        </w:rPr>
        <w:tab/>
        <w:t>The articulation of the separate spheres by Friedan and the mobilization that followed ushered in a number of important changes for women. In 1963 Friedan and a number of others organized the Nat</w:t>
      </w:r>
      <w:r w:rsidR="004F48CC">
        <w:rPr>
          <w:rFonts w:ascii="Times New Roman" w:hAnsi="Times New Roman" w:cs="Times New Roman"/>
        </w:rPr>
        <w:t>ional Organization for women</w:t>
      </w:r>
      <w:r>
        <w:rPr>
          <w:rFonts w:ascii="Times New Roman" w:hAnsi="Times New Roman" w:cs="Times New Roman"/>
        </w:rPr>
        <w:t xml:space="preserve"> </w:t>
      </w:r>
      <w:r w:rsidR="004F48CC">
        <w:rPr>
          <w:rFonts w:ascii="Times New Roman" w:hAnsi="Times New Roman" w:cs="Times New Roman"/>
        </w:rPr>
        <w:t>(</w:t>
      </w:r>
      <w:r>
        <w:rPr>
          <w:rFonts w:ascii="Times New Roman" w:hAnsi="Times New Roman" w:cs="Times New Roman"/>
        </w:rPr>
        <w:t>NOW</w:t>
      </w:r>
      <w:r w:rsidR="004F48CC">
        <w:rPr>
          <w:rFonts w:ascii="Times New Roman" w:hAnsi="Times New Roman" w:cs="Times New Roman"/>
        </w:rPr>
        <w:t>)</w:t>
      </w:r>
      <w:r>
        <w:rPr>
          <w:rFonts w:ascii="Times New Roman" w:hAnsi="Times New Roman" w:cs="Times New Roman"/>
        </w:rPr>
        <w:t xml:space="preserve"> “to lobby for the inclusion of women in the Civil Rights Act of 1964, the Equal Pay Act of 1963, repeal of criminal abortion laws, and passage of the Equal Rights Amendment” (Kuersten, 2003, p. xxiii). In this new wave, women focused on gender equality more so than women’s rights. </w:t>
      </w:r>
      <w:r w:rsidR="00635F76">
        <w:rPr>
          <w:rFonts w:ascii="Times New Roman" w:hAnsi="Times New Roman" w:cs="Times New Roman"/>
        </w:rPr>
        <w:t xml:space="preserve">The legislation supported by the women’s movement, especially the Equal Pay Act and the Equal Rights Amendment, sought to eliminate the prevalence of the protective legislation of the past. They instead demanded, that equality would be enforced for both genders on a federal level (Kuersten, 2003). </w:t>
      </w:r>
    </w:p>
    <w:p w14:paraId="1AAF8B26" w14:textId="2B6E5D0D" w:rsidR="00635006" w:rsidRDefault="004F48CC" w:rsidP="00635006">
      <w:pPr>
        <w:spacing w:line="480" w:lineRule="auto"/>
        <w:rPr>
          <w:rFonts w:ascii="Times New Roman" w:hAnsi="Times New Roman" w:cs="Times New Roman"/>
        </w:rPr>
      </w:pPr>
      <w:r>
        <w:rPr>
          <w:rFonts w:ascii="Times New Roman" w:hAnsi="Times New Roman" w:cs="Times New Roman"/>
        </w:rPr>
        <w:tab/>
        <w:t>The 1960s also brought</w:t>
      </w:r>
      <w:r w:rsidR="00635006">
        <w:rPr>
          <w:rFonts w:ascii="Times New Roman" w:hAnsi="Times New Roman" w:cs="Times New Roman"/>
        </w:rPr>
        <w:t xml:space="preserve"> a number of judicial decisions that both advanced and hindered the progression of women. In 1965</w:t>
      </w:r>
      <w:r>
        <w:rPr>
          <w:rFonts w:ascii="Times New Roman" w:hAnsi="Times New Roman" w:cs="Times New Roman"/>
        </w:rPr>
        <w:t>,</w:t>
      </w:r>
      <w:r w:rsidR="00635006">
        <w:rPr>
          <w:rFonts w:ascii="Times New Roman" w:hAnsi="Times New Roman" w:cs="Times New Roman"/>
        </w:rPr>
        <w:t xml:space="preserve"> the Supreme Court overturned the Comstock Act of 1873, which stated that the U.S. Mail could not be used to obtain </w:t>
      </w:r>
      <w:r w:rsidR="00635006">
        <w:rPr>
          <w:rFonts w:ascii="Times New Roman" w:hAnsi="Times New Roman" w:cs="Times New Roman"/>
        </w:rPr>
        <w:lastRenderedPageBreak/>
        <w:t xml:space="preserve">information on contraceptives. In </w:t>
      </w:r>
      <w:r w:rsidR="00635006">
        <w:rPr>
          <w:rFonts w:ascii="Times New Roman" w:hAnsi="Times New Roman" w:cs="Times New Roman"/>
          <w:i/>
        </w:rPr>
        <w:t>Griswold v. Connecticut</w:t>
      </w:r>
      <w:r w:rsidR="00635006">
        <w:rPr>
          <w:rFonts w:ascii="Times New Roman" w:hAnsi="Times New Roman" w:cs="Times New Roman"/>
        </w:rPr>
        <w:t xml:space="preserve">, the court instead decided that the expectation of privacy should be expanded to include whatever form of family planning people choose. In his majority opinion, Justice William Douglas rhetorically </w:t>
      </w:r>
      <w:r>
        <w:rPr>
          <w:rFonts w:ascii="Times New Roman" w:hAnsi="Times New Roman" w:cs="Times New Roman"/>
        </w:rPr>
        <w:t>asked</w:t>
      </w:r>
      <w:r w:rsidR="00635006">
        <w:rPr>
          <w:rFonts w:ascii="Times New Roman" w:hAnsi="Times New Roman" w:cs="Times New Roman"/>
        </w:rPr>
        <w:t xml:space="preserve">, “Would we allow the police to search the sacred precincts of marital bedrooms for telltale signs of the use of contraceptives? The very idea is repulsive to the notions of privacy surrounding the marriage relationship” (Kuersten, 2003, p. xxx). This case served as a victory for women, who now had some legal protection in their use of contraception. </w:t>
      </w:r>
      <w:r>
        <w:rPr>
          <w:rFonts w:ascii="Times New Roman" w:hAnsi="Times New Roman" w:cs="Times New Roman"/>
        </w:rPr>
        <w:t>This ruling is far from perfect however, as the Justice touched</w:t>
      </w:r>
      <w:r w:rsidR="00635006">
        <w:rPr>
          <w:rFonts w:ascii="Times New Roman" w:hAnsi="Times New Roman" w:cs="Times New Roman"/>
        </w:rPr>
        <w:t xml:space="preserve"> on the privacy between married couples </w:t>
      </w:r>
      <w:r w:rsidR="00DE1FDC">
        <w:rPr>
          <w:rFonts w:ascii="Times New Roman" w:hAnsi="Times New Roman" w:cs="Times New Roman"/>
        </w:rPr>
        <w:t xml:space="preserve">only. </w:t>
      </w:r>
      <w:r w:rsidR="00635006">
        <w:rPr>
          <w:rFonts w:ascii="Times New Roman" w:hAnsi="Times New Roman" w:cs="Times New Roman"/>
        </w:rPr>
        <w:t xml:space="preserve"> </w:t>
      </w:r>
    </w:p>
    <w:p w14:paraId="5B79FEA7" w14:textId="62D2C03D" w:rsidR="00635006" w:rsidRDefault="00635006" w:rsidP="00635006">
      <w:pPr>
        <w:spacing w:line="480" w:lineRule="auto"/>
        <w:rPr>
          <w:rFonts w:ascii="Times New Roman" w:hAnsi="Times New Roman" w:cs="Times New Roman"/>
        </w:rPr>
      </w:pPr>
      <w:r>
        <w:rPr>
          <w:rFonts w:ascii="Times New Roman" w:hAnsi="Times New Roman" w:cs="Times New Roman"/>
        </w:rPr>
        <w:tab/>
        <w:t xml:space="preserve">The following year, the Supreme Court </w:t>
      </w:r>
      <w:r w:rsidR="004F48CC">
        <w:rPr>
          <w:rFonts w:ascii="Times New Roman" w:hAnsi="Times New Roman" w:cs="Times New Roman"/>
        </w:rPr>
        <w:t>took</w:t>
      </w:r>
      <w:r>
        <w:rPr>
          <w:rFonts w:ascii="Times New Roman" w:hAnsi="Times New Roman" w:cs="Times New Roman"/>
        </w:rPr>
        <w:t xml:space="preserve"> the opportunity to discuss some of the foundational elements of a woman’s role in American. The case, </w:t>
      </w:r>
      <w:r w:rsidRPr="00C50C67">
        <w:rPr>
          <w:rFonts w:ascii="Times New Roman" w:hAnsi="Times New Roman" w:cs="Times New Roman"/>
          <w:i/>
        </w:rPr>
        <w:t>U.S. v. Yazell</w:t>
      </w:r>
      <w:r>
        <w:rPr>
          <w:rFonts w:ascii="Times New Roman" w:hAnsi="Times New Roman" w:cs="Times New Roman"/>
        </w:rPr>
        <w:t xml:space="preserve">, forced the Justices into a conversation about coverture, and though the ruling did not </w:t>
      </w:r>
      <w:r w:rsidR="004F48CC">
        <w:rPr>
          <w:rFonts w:ascii="Times New Roman" w:hAnsi="Times New Roman" w:cs="Times New Roman"/>
        </w:rPr>
        <w:t>favor</w:t>
      </w:r>
      <w:r>
        <w:rPr>
          <w:rFonts w:ascii="Times New Roman" w:hAnsi="Times New Roman" w:cs="Times New Roman"/>
        </w:rPr>
        <w:t xml:space="preserve"> wom</w:t>
      </w:r>
      <w:r w:rsidR="004F48CC">
        <w:rPr>
          <w:rFonts w:ascii="Times New Roman" w:hAnsi="Times New Roman" w:cs="Times New Roman"/>
        </w:rPr>
        <w:t>en, this case was an excellent opportunity</w:t>
      </w:r>
      <w:r>
        <w:rPr>
          <w:rFonts w:ascii="Times New Roman" w:hAnsi="Times New Roman" w:cs="Times New Roman"/>
        </w:rPr>
        <w:t xml:space="preserve"> to discuss the legal legitimacy of Blackstone’s writings as they applied to the modern world.</w:t>
      </w:r>
    </w:p>
    <w:p w14:paraId="722B424D" w14:textId="06D11554" w:rsidR="00635006" w:rsidRDefault="00635006" w:rsidP="00635006">
      <w:pPr>
        <w:spacing w:line="480" w:lineRule="auto"/>
        <w:ind w:firstLine="720"/>
        <w:rPr>
          <w:rFonts w:ascii="Times New Roman" w:hAnsi="Times New Roman" w:cs="Times New Roman"/>
        </w:rPr>
      </w:pPr>
      <w:r>
        <w:rPr>
          <w:rFonts w:ascii="Times New Roman" w:hAnsi="Times New Roman" w:cs="Times New Roman"/>
        </w:rPr>
        <w:t xml:space="preserve"> The Yazell’s received a disaster loan from the SBA after a flood damaged their shop. When they defaulted on that loan, Mrs. Yazell argued that, under the Texas law of coverture, she could not be bound to the obligations of the loan because she could not execute a valid contract. The court held that the Texas law should stand in this case on the grounds that there was not a </w:t>
      </w:r>
      <w:r w:rsidR="00F71B6C">
        <w:rPr>
          <w:rFonts w:ascii="Times New Roman" w:hAnsi="Times New Roman" w:cs="Times New Roman"/>
        </w:rPr>
        <w:t xml:space="preserve">more prominent federal interest.  In other words, </w:t>
      </w:r>
      <w:r w:rsidR="004F48CC">
        <w:rPr>
          <w:rFonts w:ascii="Times New Roman" w:hAnsi="Times New Roman" w:cs="Times New Roman"/>
        </w:rPr>
        <w:t xml:space="preserve">the court </w:t>
      </w:r>
      <w:r>
        <w:rPr>
          <w:rFonts w:ascii="Times New Roman" w:hAnsi="Times New Roman" w:cs="Times New Roman"/>
        </w:rPr>
        <w:t>affirm</w:t>
      </w:r>
      <w:r w:rsidR="004F48CC">
        <w:rPr>
          <w:rFonts w:ascii="Times New Roman" w:hAnsi="Times New Roman" w:cs="Times New Roman"/>
        </w:rPr>
        <w:t>ed</w:t>
      </w:r>
      <w:r>
        <w:rPr>
          <w:rFonts w:ascii="Times New Roman" w:hAnsi="Times New Roman" w:cs="Times New Roman"/>
        </w:rPr>
        <w:t xml:space="preserve"> that coverture should stand. In his dissenting opinion, Justice Black wrote that the doctrine rests “on the old common-law fiction that the husband and wife are one… [</w:t>
      </w:r>
      <w:proofErr w:type="gramStart"/>
      <w:r>
        <w:rPr>
          <w:rFonts w:ascii="Times New Roman" w:hAnsi="Times New Roman" w:cs="Times New Roman"/>
        </w:rPr>
        <w:t>which</w:t>
      </w:r>
      <w:proofErr w:type="gramEnd"/>
      <w:r>
        <w:rPr>
          <w:rFonts w:ascii="Times New Roman" w:hAnsi="Times New Roman" w:cs="Times New Roman"/>
        </w:rPr>
        <w:t xml:space="preserve">] has worked out in reality </w:t>
      </w:r>
      <w:r w:rsidR="00DE1FDC">
        <w:rPr>
          <w:rFonts w:ascii="Times New Roman" w:hAnsi="Times New Roman" w:cs="Times New Roman"/>
        </w:rPr>
        <w:t>to mean… the one is the husband</w:t>
      </w:r>
      <w:r>
        <w:rPr>
          <w:rFonts w:ascii="Times New Roman" w:hAnsi="Times New Roman" w:cs="Times New Roman"/>
        </w:rPr>
        <w:t>” (Kanowitz, 1973, p. 6</w:t>
      </w:r>
      <w:r w:rsidR="004F48CC">
        <w:rPr>
          <w:rFonts w:ascii="Times New Roman" w:hAnsi="Times New Roman" w:cs="Times New Roman"/>
        </w:rPr>
        <w:t>3). To a large extent, he argued</w:t>
      </w:r>
      <w:r>
        <w:rPr>
          <w:rFonts w:ascii="Times New Roman" w:hAnsi="Times New Roman" w:cs="Times New Roman"/>
        </w:rPr>
        <w:t xml:space="preserve">, “those changed [upon marriage] reflected the </w:t>
      </w:r>
      <w:r>
        <w:rPr>
          <w:rFonts w:ascii="Times New Roman" w:hAnsi="Times New Roman" w:cs="Times New Roman"/>
        </w:rPr>
        <w:lastRenderedPageBreak/>
        <w:t xml:space="preserve">feudal theory of ‘natural male dominance’ – a theory that is far from dead in modern times” (Kanowitz, 1973, p. 63). </w:t>
      </w:r>
    </w:p>
    <w:p w14:paraId="009B8AEC" w14:textId="72F14B2C" w:rsidR="00635006" w:rsidRDefault="00635006" w:rsidP="00635006">
      <w:pPr>
        <w:spacing w:line="480" w:lineRule="auto"/>
        <w:rPr>
          <w:rFonts w:ascii="Times New Roman" w:hAnsi="Times New Roman" w:cs="Times New Roman"/>
        </w:rPr>
      </w:pPr>
      <w:r>
        <w:rPr>
          <w:rFonts w:ascii="Times New Roman" w:hAnsi="Times New Roman" w:cs="Times New Roman"/>
        </w:rPr>
        <w:tab/>
        <w:t xml:space="preserve">Though the courts did show some level of progress in the recognition of women as civic equals, there were several cases in which women were still regarded as inferior in terms of their responsibilities in citizenship. In </w:t>
      </w:r>
      <w:r w:rsidRPr="00C50C67">
        <w:rPr>
          <w:rFonts w:ascii="Times New Roman" w:hAnsi="Times New Roman" w:cs="Times New Roman"/>
          <w:i/>
        </w:rPr>
        <w:t>U.S. v. St. Clair</w:t>
      </w:r>
      <w:r>
        <w:rPr>
          <w:rFonts w:ascii="Times New Roman" w:hAnsi="Times New Roman" w:cs="Times New Roman"/>
        </w:rPr>
        <w:t xml:space="preserve"> a man argued that the draft was unconstitutional under the equal protection clause of the </w:t>
      </w:r>
      <w:r w:rsidR="005340C4">
        <w:rPr>
          <w:rFonts w:ascii="Times New Roman" w:hAnsi="Times New Roman" w:cs="Times New Roman"/>
        </w:rPr>
        <w:t>Fourteenth A</w:t>
      </w:r>
      <w:r>
        <w:rPr>
          <w:rFonts w:ascii="Times New Roman" w:hAnsi="Times New Roman" w:cs="Times New Roman"/>
        </w:rPr>
        <w:t>mendment because it discriminates on the basis of sex (Kanowitz, 1973, p. 69). The defendant claimed that because “Congress has established women’s corps in the various branches of the Armed Forces…</w:t>
      </w:r>
      <w:r w:rsidR="0009740F">
        <w:rPr>
          <w:rFonts w:ascii="Times New Roman" w:hAnsi="Times New Roman" w:cs="Times New Roman"/>
        </w:rPr>
        <w:t xml:space="preserve"> Congress had</w:t>
      </w:r>
      <w:r>
        <w:rPr>
          <w:rFonts w:ascii="Times New Roman" w:hAnsi="Times New Roman" w:cs="Times New Roman"/>
        </w:rPr>
        <w:t xml:space="preserve"> treated the sexes equally with respect to their ability to serve in the Armed Forces” (Kanowitz, 1973, p. 71). </w:t>
      </w:r>
      <w:r w:rsidR="0009740F">
        <w:rPr>
          <w:rFonts w:ascii="Times New Roman" w:hAnsi="Times New Roman" w:cs="Times New Roman"/>
        </w:rPr>
        <w:t xml:space="preserve">The defendant argued that the recognition of women’s ability to contribute to the Armed Forces established in the creation of their own corps meant that they should be equally eligible for the draft. </w:t>
      </w:r>
      <w:r>
        <w:rPr>
          <w:rFonts w:ascii="Times New Roman" w:hAnsi="Times New Roman" w:cs="Times New Roman"/>
        </w:rPr>
        <w:t>Though the role of women in the Armed Ser</w:t>
      </w:r>
      <w:r w:rsidR="0009740F">
        <w:rPr>
          <w:rFonts w:ascii="Times New Roman" w:hAnsi="Times New Roman" w:cs="Times New Roman"/>
        </w:rPr>
        <w:t>vice had expanded greatly, the C</w:t>
      </w:r>
      <w:r>
        <w:rPr>
          <w:rFonts w:ascii="Times New Roman" w:hAnsi="Times New Roman" w:cs="Times New Roman"/>
        </w:rPr>
        <w:t xml:space="preserve">ourt did not feel that women should be equally eligible for the draft. </w:t>
      </w:r>
    </w:p>
    <w:p w14:paraId="01D56A51" w14:textId="77777777" w:rsidR="004F48CC" w:rsidRDefault="00635006" w:rsidP="004F48CC">
      <w:pPr>
        <w:spacing w:line="480" w:lineRule="auto"/>
        <w:ind w:firstLine="720"/>
        <w:rPr>
          <w:rFonts w:ascii="Times New Roman" w:hAnsi="Times New Roman" w:cs="Times New Roman"/>
        </w:rPr>
      </w:pPr>
      <w:r>
        <w:rPr>
          <w:rFonts w:ascii="Times New Roman" w:hAnsi="Times New Roman" w:cs="Times New Roman"/>
        </w:rPr>
        <w:t>The Supreme Court ruled that women were “still regarded as the center of home and family life” and that they should “be afforded special recognition” (Kanowitz, 1973, p. 71). In establishing service rules for the Armed forces, the justices believed that “Congress followed the teachings of history that if a nation is to survive, men must provide the first line of defense while women keep the home fires burning” (Kanowitz, 1973, p. 71). This reflected a similar logic to the “protective” legisla</w:t>
      </w:r>
      <w:r w:rsidR="004F48CC">
        <w:rPr>
          <w:rFonts w:ascii="Times New Roman" w:hAnsi="Times New Roman" w:cs="Times New Roman"/>
        </w:rPr>
        <w:t>tion ushered in during the 1950</w:t>
      </w:r>
      <w:r>
        <w:rPr>
          <w:rFonts w:ascii="Times New Roman" w:hAnsi="Times New Roman" w:cs="Times New Roman"/>
        </w:rPr>
        <w:t xml:space="preserve">s, ultimately solidifying substantial legal differences between men and women. </w:t>
      </w:r>
    </w:p>
    <w:p w14:paraId="24192058" w14:textId="3AF62EA2" w:rsidR="00635006" w:rsidRPr="00BE262B" w:rsidRDefault="00635006" w:rsidP="004F48CC">
      <w:pPr>
        <w:spacing w:line="480" w:lineRule="auto"/>
        <w:ind w:firstLine="720"/>
        <w:jc w:val="center"/>
        <w:rPr>
          <w:rFonts w:ascii="Times New Roman" w:hAnsi="Times New Roman" w:cs="Times New Roman"/>
        </w:rPr>
      </w:pPr>
      <w:r w:rsidRPr="00BE262B">
        <w:rPr>
          <w:rFonts w:ascii="Times New Roman" w:hAnsi="Times New Roman" w:cs="Times New Roman"/>
        </w:rPr>
        <w:t>A New Standard Of Review</w:t>
      </w:r>
    </w:p>
    <w:p w14:paraId="72FA94AD" w14:textId="1BE91809" w:rsidR="00635006" w:rsidRPr="00BE262B" w:rsidRDefault="004F48CC" w:rsidP="004F48CC">
      <w:pPr>
        <w:spacing w:line="480" w:lineRule="auto"/>
        <w:rPr>
          <w:rFonts w:ascii="Times New Roman" w:hAnsi="Times New Roman" w:cs="Times New Roman"/>
        </w:rPr>
      </w:pPr>
      <w:r>
        <w:rPr>
          <w:rFonts w:ascii="Times New Roman" w:hAnsi="Times New Roman" w:cs="Times New Roman"/>
        </w:rPr>
        <w:lastRenderedPageBreak/>
        <w:tab/>
        <w:t>The 1970</w:t>
      </w:r>
      <w:r w:rsidR="00635006" w:rsidRPr="00BE262B">
        <w:rPr>
          <w:rFonts w:ascii="Times New Roman" w:hAnsi="Times New Roman" w:cs="Times New Roman"/>
        </w:rPr>
        <w:t xml:space="preserve">s proved to be a crucial decade in the fight for gender equality. The progress made in the previous decade, coupled with the revitalization of a passionate women’s movement led to a number of </w:t>
      </w:r>
      <w:r>
        <w:rPr>
          <w:rFonts w:ascii="Times New Roman" w:hAnsi="Times New Roman" w:cs="Times New Roman"/>
        </w:rPr>
        <w:t>significant decisions</w:t>
      </w:r>
      <w:r w:rsidR="00635006" w:rsidRPr="00BE262B">
        <w:rPr>
          <w:rFonts w:ascii="Times New Roman" w:hAnsi="Times New Roman" w:cs="Times New Roman"/>
        </w:rPr>
        <w:t xml:space="preserve"> in favor of women becoming equal citizens (Kuersten, 2003). </w:t>
      </w:r>
    </w:p>
    <w:p w14:paraId="1226A058" w14:textId="3159285C" w:rsidR="00635006" w:rsidRDefault="00635006" w:rsidP="00635006">
      <w:pPr>
        <w:spacing w:line="480" w:lineRule="auto"/>
        <w:rPr>
          <w:rFonts w:ascii="Times New Roman" w:hAnsi="Times New Roman" w:cs="Times New Roman"/>
          <w:color w:val="000000"/>
        </w:rPr>
      </w:pPr>
      <w:r w:rsidRPr="00BE262B">
        <w:rPr>
          <w:rFonts w:ascii="Times New Roman" w:hAnsi="Times New Roman" w:cs="Times New Roman"/>
        </w:rPr>
        <w:tab/>
        <w:t xml:space="preserve">In 1971, the Supreme Court decided on </w:t>
      </w:r>
      <w:r w:rsidRPr="00C50C67">
        <w:rPr>
          <w:rFonts w:ascii="Times New Roman" w:hAnsi="Times New Roman" w:cs="Times New Roman"/>
          <w:i/>
        </w:rPr>
        <w:t>Reed v. Reed</w:t>
      </w:r>
      <w:r w:rsidRPr="00BE262B">
        <w:rPr>
          <w:rFonts w:ascii="Times New Roman" w:hAnsi="Times New Roman" w:cs="Times New Roman"/>
        </w:rPr>
        <w:t>, a case that would become the judicial precedent for a number of cases regarding the equal protection of women. The case involved two parents petitioning for the ability to administer their deceased son’s estate. The Idaho courts originally relied on a state code that labeled the boy’s father, Cecil Reed, as administrator over his mother on the sole basis that he</w:t>
      </w:r>
      <w:r w:rsidR="0009740F">
        <w:rPr>
          <w:rFonts w:ascii="Times New Roman" w:hAnsi="Times New Roman" w:cs="Times New Roman"/>
        </w:rPr>
        <w:t xml:space="preserve"> was male (Kanowitz, 1973</w:t>
      </w:r>
      <w:r w:rsidR="004F48CC">
        <w:rPr>
          <w:rFonts w:ascii="Times New Roman" w:hAnsi="Times New Roman" w:cs="Times New Roman"/>
        </w:rPr>
        <w:t>). The Idaho statute highlighted</w:t>
      </w:r>
      <w:r w:rsidRPr="00BE262B">
        <w:rPr>
          <w:rFonts w:ascii="Times New Roman" w:hAnsi="Times New Roman" w:cs="Times New Roman"/>
        </w:rPr>
        <w:t xml:space="preserve"> that the mother or father be granted the ability, bu</w:t>
      </w:r>
      <w:r w:rsidR="00813FAF">
        <w:rPr>
          <w:rFonts w:ascii="Times New Roman" w:hAnsi="Times New Roman" w:cs="Times New Roman"/>
        </w:rPr>
        <w:t>t provided</w:t>
      </w:r>
      <w:r w:rsidRPr="00BE262B">
        <w:rPr>
          <w:rFonts w:ascii="Times New Roman" w:hAnsi="Times New Roman" w:cs="Times New Roman"/>
        </w:rPr>
        <w:t xml:space="preserve"> that “of several persons claiming and equally entitled [under </w:t>
      </w:r>
      <w:r w:rsidRPr="00FB0FEF">
        <w:rPr>
          <w:rFonts w:ascii="Times New Roman" w:hAnsi="Times New Roman" w:cs="Times New Roman"/>
          <w:color w:val="000000"/>
        </w:rPr>
        <w:t xml:space="preserve">§ </w:t>
      </w:r>
      <w:r>
        <w:rPr>
          <w:rFonts w:ascii="Times New Roman" w:hAnsi="Times New Roman" w:cs="Times New Roman"/>
          <w:color w:val="000000"/>
        </w:rPr>
        <w:t xml:space="preserve">15-312] to administer, males must be preferred to females…” </w:t>
      </w:r>
      <w:proofErr w:type="gramStart"/>
      <w:r>
        <w:rPr>
          <w:rFonts w:ascii="Times New Roman" w:hAnsi="Times New Roman" w:cs="Times New Roman"/>
          <w:color w:val="000000"/>
        </w:rPr>
        <w:t>(Kanowitz, 1973, p. 514).</w:t>
      </w:r>
      <w:proofErr w:type="gramEnd"/>
      <w:r>
        <w:rPr>
          <w:rFonts w:ascii="Times New Roman" w:hAnsi="Times New Roman" w:cs="Times New Roman"/>
          <w:color w:val="000000"/>
        </w:rPr>
        <w:t xml:space="preserve"> His mother, Sally Reed, appealed this decision on the grounds that the state code violated her equal protection under the </w:t>
      </w:r>
      <w:r w:rsidR="005340C4">
        <w:rPr>
          <w:rFonts w:ascii="Times New Roman" w:hAnsi="Times New Roman" w:cs="Times New Roman"/>
          <w:color w:val="000000"/>
        </w:rPr>
        <w:t>Fourteenth A</w:t>
      </w:r>
      <w:r>
        <w:rPr>
          <w:rFonts w:ascii="Times New Roman" w:hAnsi="Times New Roman" w:cs="Times New Roman"/>
          <w:color w:val="000000"/>
        </w:rPr>
        <w:t>me</w:t>
      </w:r>
      <w:r w:rsidR="00813FAF">
        <w:rPr>
          <w:rFonts w:ascii="Times New Roman" w:hAnsi="Times New Roman" w:cs="Times New Roman"/>
          <w:color w:val="000000"/>
        </w:rPr>
        <w:t>ndment, a legal argument that many women had</w:t>
      </w:r>
      <w:r>
        <w:rPr>
          <w:rFonts w:ascii="Times New Roman" w:hAnsi="Times New Roman" w:cs="Times New Roman"/>
          <w:color w:val="000000"/>
        </w:rPr>
        <w:t xml:space="preserve"> used before her (Kanowitz, 1973). </w:t>
      </w:r>
    </w:p>
    <w:p w14:paraId="6EE20E3B" w14:textId="70CA5009" w:rsidR="00635006" w:rsidRDefault="00635006" w:rsidP="00635006">
      <w:pPr>
        <w:spacing w:line="480" w:lineRule="auto"/>
        <w:rPr>
          <w:rFonts w:ascii="Times New Roman" w:hAnsi="Times New Roman" w:cs="Times New Roman"/>
          <w:color w:val="000000"/>
        </w:rPr>
      </w:pPr>
      <w:r>
        <w:rPr>
          <w:rFonts w:ascii="Times New Roman" w:hAnsi="Times New Roman" w:cs="Times New Roman"/>
          <w:color w:val="000000"/>
        </w:rPr>
        <w:tab/>
        <w:t xml:space="preserve">When the case reached the Supreme Court the Justices decided, for the first time in American history, that discrimination based on gender did in fact violate a woman’s </w:t>
      </w:r>
      <w:r w:rsidR="005340C4">
        <w:rPr>
          <w:rFonts w:ascii="Times New Roman" w:hAnsi="Times New Roman" w:cs="Times New Roman"/>
          <w:color w:val="000000"/>
        </w:rPr>
        <w:t>Fourteenth A</w:t>
      </w:r>
      <w:r>
        <w:rPr>
          <w:rFonts w:ascii="Times New Roman" w:hAnsi="Times New Roman" w:cs="Times New Roman"/>
          <w:color w:val="000000"/>
        </w:rPr>
        <w:t xml:space="preserve">mendment rights. Chief Justice Burger delivered the opinion of the court, stating that “the arbitrary preference established in favor of males by </w:t>
      </w:r>
      <w:r w:rsidRPr="00A15E79">
        <w:rPr>
          <w:rFonts w:ascii="Times New Roman" w:hAnsi="Times New Roman" w:cs="Times New Roman"/>
          <w:color w:val="000000"/>
        </w:rPr>
        <w:t>§</w:t>
      </w:r>
      <w:r>
        <w:rPr>
          <w:rFonts w:ascii="Times New Roman" w:hAnsi="Times New Roman" w:cs="Times New Roman"/>
          <w:color w:val="000000"/>
        </w:rPr>
        <w:t xml:space="preserve"> 15-314 of the Idaho Code cannot stand in the face of the Fourteenth Amendment’s command that no State deny the equal protection of the laws to any person within its jurisdiction</w:t>
      </w:r>
      <w:r w:rsidR="00813FAF">
        <w:rPr>
          <w:rFonts w:ascii="Times New Roman" w:hAnsi="Times New Roman" w:cs="Times New Roman"/>
          <w:color w:val="000000"/>
        </w:rPr>
        <w:t>”</w:t>
      </w:r>
      <w:r>
        <w:rPr>
          <w:rFonts w:ascii="Times New Roman" w:hAnsi="Times New Roman" w:cs="Times New Roman"/>
          <w:color w:val="000000"/>
        </w:rPr>
        <w:t xml:space="preserve"> (Kanowitz, 1973, p. 515). The Justices based this decision on the logic that differential treatment can only be upheld if it rests “upon some ground of difference having a fair and </w:t>
      </w:r>
      <w:r>
        <w:rPr>
          <w:rFonts w:ascii="Times New Roman" w:hAnsi="Times New Roman" w:cs="Times New Roman"/>
          <w:color w:val="000000"/>
        </w:rPr>
        <w:lastRenderedPageBreak/>
        <w:t>substantial relation to the object of the legislation” (Kanowitz, 1973, p. 516). In considering whether sex s</w:t>
      </w:r>
      <w:r w:rsidR="00813FAF">
        <w:rPr>
          <w:rFonts w:ascii="Times New Roman" w:hAnsi="Times New Roman" w:cs="Times New Roman"/>
          <w:color w:val="000000"/>
        </w:rPr>
        <w:t>erved as a reason with relation</w:t>
      </w:r>
      <w:r>
        <w:rPr>
          <w:rFonts w:ascii="Times New Roman" w:hAnsi="Times New Roman" w:cs="Times New Roman"/>
          <w:color w:val="000000"/>
        </w:rPr>
        <w:t xml:space="preserve"> to the goal of the code, the court decided that it was, in fact “arbitrary</w:t>
      </w:r>
      <w:r w:rsidR="005340C4">
        <w:rPr>
          <w:rFonts w:ascii="Times New Roman" w:hAnsi="Times New Roman" w:cs="Times New Roman"/>
          <w:color w:val="000000"/>
        </w:rPr>
        <w:t>.”</w:t>
      </w:r>
      <w:r>
        <w:rPr>
          <w:rFonts w:ascii="Times New Roman" w:hAnsi="Times New Roman" w:cs="Times New Roman"/>
          <w:color w:val="000000"/>
        </w:rPr>
        <w:t xml:space="preserve"> Justice Burger </w:t>
      </w:r>
      <w:r w:rsidR="00813FAF">
        <w:rPr>
          <w:rFonts w:ascii="Times New Roman" w:hAnsi="Times New Roman" w:cs="Times New Roman"/>
          <w:color w:val="000000"/>
        </w:rPr>
        <w:t>summarized the opinion of the court in</w:t>
      </w:r>
      <w:r>
        <w:rPr>
          <w:rFonts w:ascii="Times New Roman" w:hAnsi="Times New Roman" w:cs="Times New Roman"/>
          <w:color w:val="000000"/>
        </w:rPr>
        <w:t xml:space="preserve"> saying, “by providing dissimilar treatment for men and women who are thus similarly situated, the challenged section violates the Equal Protection Clause” (Kanowitz, 1973, p. 516). </w:t>
      </w:r>
    </w:p>
    <w:p w14:paraId="7148EB76" w14:textId="753056A9" w:rsidR="00C81615" w:rsidRDefault="00635006" w:rsidP="00635006">
      <w:pPr>
        <w:spacing w:line="480" w:lineRule="auto"/>
        <w:rPr>
          <w:rFonts w:ascii="Times New Roman" w:hAnsi="Times New Roman" w:cs="Times New Roman"/>
          <w:color w:val="000000"/>
        </w:rPr>
      </w:pPr>
      <w:r>
        <w:rPr>
          <w:rFonts w:ascii="Times New Roman" w:hAnsi="Times New Roman" w:cs="Times New Roman"/>
          <w:color w:val="000000"/>
        </w:rPr>
        <w:tab/>
      </w:r>
      <w:r w:rsidRPr="001B36E0">
        <w:rPr>
          <w:rFonts w:ascii="Times New Roman" w:hAnsi="Times New Roman" w:cs="Times New Roman"/>
          <w:i/>
          <w:color w:val="000000"/>
        </w:rPr>
        <w:t>Reed v. Reed</w:t>
      </w:r>
      <w:r>
        <w:rPr>
          <w:rFonts w:ascii="Times New Roman" w:hAnsi="Times New Roman" w:cs="Times New Roman"/>
          <w:color w:val="000000"/>
        </w:rPr>
        <w:t xml:space="preserve"> set an important precedent and served as an opportunity for women to demand equality in a number of other realms. One of the major figures of the w</w:t>
      </w:r>
      <w:r w:rsidR="0009740F">
        <w:rPr>
          <w:rFonts w:ascii="Times New Roman" w:hAnsi="Times New Roman" w:cs="Times New Roman"/>
          <w:color w:val="000000"/>
        </w:rPr>
        <w:t>ome</w:t>
      </w:r>
      <w:r w:rsidR="00813FAF">
        <w:rPr>
          <w:rFonts w:ascii="Times New Roman" w:hAnsi="Times New Roman" w:cs="Times New Roman"/>
          <w:color w:val="000000"/>
        </w:rPr>
        <w:t>n’s movement during the 1970</w:t>
      </w:r>
      <w:r>
        <w:rPr>
          <w:rFonts w:ascii="Times New Roman" w:hAnsi="Times New Roman" w:cs="Times New Roman"/>
          <w:color w:val="000000"/>
        </w:rPr>
        <w:t>s was Ruth Bader Ginsburg</w:t>
      </w:r>
      <w:r w:rsidR="00F71B6C">
        <w:rPr>
          <w:rFonts w:ascii="Times New Roman" w:hAnsi="Times New Roman" w:cs="Times New Roman"/>
          <w:color w:val="000000"/>
        </w:rPr>
        <w:t xml:space="preserve">. Ginsburg was teaching at Columbia Law, while also directing the Women’s Rights Project at the American Civil Liberties Union </w:t>
      </w:r>
      <w:r>
        <w:rPr>
          <w:rFonts w:ascii="Times New Roman" w:hAnsi="Times New Roman" w:cs="Times New Roman"/>
          <w:color w:val="000000"/>
        </w:rPr>
        <w:t xml:space="preserve">(Thomas, 2011). Before becoming the second female Supreme Court Justice, she played an instrumental role in devising the strategy that was used to develop sex discrimination law. </w:t>
      </w:r>
    </w:p>
    <w:p w14:paraId="157DFBCA" w14:textId="2C85BA8A" w:rsidR="00635006" w:rsidRDefault="00635006" w:rsidP="00C81615">
      <w:pPr>
        <w:spacing w:line="480" w:lineRule="auto"/>
        <w:ind w:firstLine="720"/>
        <w:rPr>
          <w:rFonts w:ascii="Times New Roman" w:hAnsi="Times New Roman" w:cs="Times New Roman"/>
        </w:rPr>
      </w:pPr>
      <w:r>
        <w:rPr>
          <w:rFonts w:ascii="Times New Roman" w:hAnsi="Times New Roman" w:cs="Times New Roman"/>
        </w:rPr>
        <w:t>Gin</w:t>
      </w:r>
      <w:r w:rsidR="00813FAF">
        <w:rPr>
          <w:rFonts w:ascii="Times New Roman" w:hAnsi="Times New Roman" w:cs="Times New Roman"/>
        </w:rPr>
        <w:t>sburg explained</w:t>
      </w:r>
      <w:r>
        <w:rPr>
          <w:rFonts w:ascii="Times New Roman" w:hAnsi="Times New Roman" w:cs="Times New Roman"/>
        </w:rPr>
        <w:t xml:space="preserve"> this strategy </w:t>
      </w:r>
      <w:r w:rsidR="00813FAF">
        <w:rPr>
          <w:rFonts w:ascii="Times New Roman" w:hAnsi="Times New Roman" w:cs="Times New Roman"/>
        </w:rPr>
        <w:t xml:space="preserve">through </w:t>
      </w:r>
      <w:r>
        <w:rPr>
          <w:rFonts w:ascii="Times New Roman" w:hAnsi="Times New Roman" w:cs="Times New Roman"/>
        </w:rPr>
        <w:t xml:space="preserve">saying that the objective of the Women’s Rights Project “was to obtain thoughtful consideration of the assumptions underlying, and the purposes served by, sex-based </w:t>
      </w:r>
      <w:r w:rsidR="00DE1FDC">
        <w:rPr>
          <w:rFonts w:ascii="Times New Roman" w:hAnsi="Times New Roman" w:cs="Times New Roman"/>
        </w:rPr>
        <w:t xml:space="preserve">classifications” (Thomas, 2011, p. 11). </w:t>
      </w:r>
      <w:r w:rsidR="00C50C67">
        <w:rPr>
          <w:rFonts w:ascii="Times New Roman" w:hAnsi="Times New Roman" w:cs="Times New Roman"/>
        </w:rPr>
        <w:t>Ginsburg led a charge to challenge the differential tre</w:t>
      </w:r>
      <w:r w:rsidR="00813FAF">
        <w:rPr>
          <w:rFonts w:ascii="Times New Roman" w:hAnsi="Times New Roman" w:cs="Times New Roman"/>
        </w:rPr>
        <w:t>atment of the sexes, which had</w:t>
      </w:r>
      <w:r w:rsidR="00C50C67">
        <w:rPr>
          <w:rFonts w:ascii="Times New Roman" w:hAnsi="Times New Roman" w:cs="Times New Roman"/>
        </w:rPr>
        <w:t xml:space="preserve"> been rationalized as having been “reflective of natural differences”</w:t>
      </w:r>
      <w:r w:rsidR="00813FAF">
        <w:rPr>
          <w:rFonts w:ascii="Times New Roman" w:hAnsi="Times New Roman" w:cs="Times New Roman"/>
        </w:rPr>
        <w:t xml:space="preserve"> to that point</w:t>
      </w:r>
      <w:r w:rsidR="00C50C67">
        <w:rPr>
          <w:rFonts w:ascii="Times New Roman" w:hAnsi="Times New Roman" w:cs="Times New Roman"/>
        </w:rPr>
        <w:t xml:space="preserve"> (Thomas, 2011, p. 12). The Women’s Rights project openly attacked the protective legislation of the previous decade including</w:t>
      </w:r>
      <w:r w:rsidR="001B36E0">
        <w:rPr>
          <w:rFonts w:ascii="Times New Roman" w:hAnsi="Times New Roman" w:cs="Times New Roman"/>
        </w:rPr>
        <w:t xml:space="preserve"> provisions such as</w:t>
      </w:r>
      <w:r w:rsidR="00C50C67">
        <w:rPr>
          <w:rFonts w:ascii="Times New Roman" w:hAnsi="Times New Roman" w:cs="Times New Roman"/>
        </w:rPr>
        <w:t xml:space="preserve"> </w:t>
      </w:r>
      <w:r w:rsidR="001B36E0">
        <w:rPr>
          <w:rFonts w:ascii="Times New Roman" w:hAnsi="Times New Roman" w:cs="Times New Roman"/>
        </w:rPr>
        <w:t xml:space="preserve">alimony, employment restrictions, and limited jury service. After the </w:t>
      </w:r>
      <w:r w:rsidR="001B36E0">
        <w:rPr>
          <w:rFonts w:ascii="Times New Roman" w:hAnsi="Times New Roman" w:cs="Times New Roman"/>
          <w:i/>
        </w:rPr>
        <w:t>Reed v. Reed</w:t>
      </w:r>
      <w:r w:rsidR="003566DE">
        <w:rPr>
          <w:rFonts w:ascii="Times New Roman" w:hAnsi="Times New Roman" w:cs="Times New Roman"/>
        </w:rPr>
        <w:t xml:space="preserve"> </w:t>
      </w:r>
      <w:r w:rsidR="001B36E0">
        <w:rPr>
          <w:rFonts w:ascii="Times New Roman" w:hAnsi="Times New Roman" w:cs="Times New Roman"/>
        </w:rPr>
        <w:t xml:space="preserve">decision, “Ginsburg then encouraged the Court to adopt a heightened level of scrutiny for reviewing distinctions on the basis of sex” (Thomas, 2011, p. 12).  </w:t>
      </w:r>
    </w:p>
    <w:p w14:paraId="2B42BD39" w14:textId="4A8968DD" w:rsidR="001B36E0" w:rsidRDefault="001B36E0" w:rsidP="00C81615">
      <w:pPr>
        <w:spacing w:line="480" w:lineRule="auto"/>
        <w:ind w:firstLine="720"/>
        <w:rPr>
          <w:rFonts w:ascii="Times New Roman" w:hAnsi="Times New Roman" w:cs="Times New Roman"/>
        </w:rPr>
      </w:pPr>
      <w:r>
        <w:rPr>
          <w:rFonts w:ascii="Times New Roman" w:hAnsi="Times New Roman" w:cs="Times New Roman"/>
        </w:rPr>
        <w:lastRenderedPageBreak/>
        <w:t xml:space="preserve">This reformed standard of review was established in the 1976 case of </w:t>
      </w:r>
      <w:r>
        <w:rPr>
          <w:rFonts w:ascii="Times New Roman" w:hAnsi="Times New Roman" w:cs="Times New Roman"/>
          <w:i/>
        </w:rPr>
        <w:t xml:space="preserve">Craig v. Boren. </w:t>
      </w:r>
      <w:r w:rsidR="00DB73B6">
        <w:rPr>
          <w:rFonts w:ascii="Times New Roman" w:hAnsi="Times New Roman" w:cs="Times New Roman"/>
        </w:rPr>
        <w:t xml:space="preserve">This case reviewed the legitimacy of Oklahoma’s drinking age, which at the time was 18 for females and 21 for males (Kuersten, 2011, p. xxv). Oklahoma argued that the differential treatment was based on the higher tendency for males to get into alcohol-related accidents. Despite this claim, the Court decided </w:t>
      </w:r>
      <w:r w:rsidR="00DB5B6F">
        <w:rPr>
          <w:rFonts w:ascii="Times New Roman" w:hAnsi="Times New Roman" w:cs="Times New Roman"/>
        </w:rPr>
        <w:t>that the law denied equal protection to men, and declared it unconstitutional</w:t>
      </w:r>
      <w:r w:rsidR="001446CB">
        <w:rPr>
          <w:rFonts w:ascii="Times New Roman" w:hAnsi="Times New Roman" w:cs="Times New Roman"/>
        </w:rPr>
        <w:t xml:space="preserve"> (Kuersten, 2011, p. xxvi)</w:t>
      </w:r>
      <w:r w:rsidR="00DB5B6F">
        <w:rPr>
          <w:rFonts w:ascii="Times New Roman" w:hAnsi="Times New Roman" w:cs="Times New Roman"/>
        </w:rPr>
        <w:t xml:space="preserve">. </w:t>
      </w:r>
    </w:p>
    <w:p w14:paraId="6B716AA7" w14:textId="1337AB5D" w:rsidR="007F652E" w:rsidRPr="001446CB" w:rsidRDefault="001446CB" w:rsidP="00C81615">
      <w:pPr>
        <w:spacing w:line="480" w:lineRule="auto"/>
        <w:ind w:firstLine="720"/>
        <w:rPr>
          <w:rFonts w:ascii="Times New Roman" w:hAnsi="Times New Roman" w:cs="Times New Roman"/>
        </w:rPr>
      </w:pPr>
      <w:r>
        <w:rPr>
          <w:rFonts w:ascii="Times New Roman" w:hAnsi="Times New Roman" w:cs="Times New Roman"/>
        </w:rPr>
        <w:t xml:space="preserve">This case built on the standard in </w:t>
      </w:r>
      <w:r>
        <w:rPr>
          <w:rFonts w:ascii="Times New Roman" w:hAnsi="Times New Roman" w:cs="Times New Roman"/>
          <w:i/>
        </w:rPr>
        <w:t>Reed v. Reed</w:t>
      </w:r>
      <w:r>
        <w:rPr>
          <w:rFonts w:ascii="Times New Roman" w:hAnsi="Times New Roman" w:cs="Times New Roman"/>
        </w:rPr>
        <w:t xml:space="preserve"> to create a new “intermediate” level of scrutiny for gender discrimination claims. This </w:t>
      </w:r>
      <w:r w:rsidR="00813FAF">
        <w:rPr>
          <w:rFonts w:ascii="Times New Roman" w:hAnsi="Times New Roman" w:cs="Times New Roman"/>
        </w:rPr>
        <w:t>intermediate scrutiny suggested that,</w:t>
      </w:r>
      <w:r>
        <w:rPr>
          <w:rFonts w:ascii="Times New Roman" w:hAnsi="Times New Roman" w:cs="Times New Roman"/>
        </w:rPr>
        <w:t xml:space="preserve"> “in order for a law that differentiated between men and women to prevail, the state had to prove that the use of sex as a classifying tool was substantially related to the advancement of an important government objective” (Kuersten, 2011, p. xxvi). </w:t>
      </w:r>
      <w:r w:rsidR="00C97186">
        <w:rPr>
          <w:rFonts w:ascii="Times New Roman" w:hAnsi="Times New Roman" w:cs="Times New Roman"/>
        </w:rPr>
        <w:t>Women used this new standard to make a number of other changes including the reformation of alimony laws and ensuring that public schools be available</w:t>
      </w:r>
      <w:r w:rsidR="00813FAF">
        <w:rPr>
          <w:rFonts w:ascii="Times New Roman" w:hAnsi="Times New Roman" w:cs="Times New Roman"/>
        </w:rPr>
        <w:t xml:space="preserve"> to both sexes (Kuersten, 2011).</w:t>
      </w:r>
    </w:p>
    <w:p w14:paraId="654B9AC2" w14:textId="1FB4F9D0" w:rsidR="00DB5B6F" w:rsidRDefault="00DB5B6F" w:rsidP="00C81615">
      <w:pPr>
        <w:spacing w:line="480" w:lineRule="auto"/>
        <w:ind w:firstLine="720"/>
        <w:rPr>
          <w:rFonts w:ascii="Times New Roman" w:hAnsi="Times New Roman" w:cs="Times New Roman"/>
        </w:rPr>
      </w:pPr>
      <w:r>
        <w:rPr>
          <w:rFonts w:ascii="Times New Roman" w:hAnsi="Times New Roman" w:cs="Times New Roman"/>
        </w:rPr>
        <w:t>Though this new level of scrutiny did serve to advance women closer to equality,</w:t>
      </w:r>
      <w:r w:rsidR="007F652E">
        <w:rPr>
          <w:rFonts w:ascii="Times New Roman" w:hAnsi="Times New Roman" w:cs="Times New Roman"/>
        </w:rPr>
        <w:t xml:space="preserve"> there were</w:t>
      </w:r>
      <w:r>
        <w:rPr>
          <w:rFonts w:ascii="Times New Roman" w:hAnsi="Times New Roman" w:cs="Times New Roman"/>
        </w:rPr>
        <w:t xml:space="preserve"> still some examples in which, even given this intermediate level, statutes </w:t>
      </w:r>
      <w:r w:rsidR="007F652E">
        <w:rPr>
          <w:rFonts w:ascii="Times New Roman" w:hAnsi="Times New Roman" w:cs="Times New Roman"/>
        </w:rPr>
        <w:t>seemed</w:t>
      </w:r>
      <w:r>
        <w:rPr>
          <w:rFonts w:ascii="Times New Roman" w:hAnsi="Times New Roman" w:cs="Times New Roman"/>
        </w:rPr>
        <w:t xml:space="preserve"> to </w:t>
      </w:r>
      <w:r w:rsidR="00C97186">
        <w:rPr>
          <w:rFonts w:ascii="Times New Roman" w:hAnsi="Times New Roman" w:cs="Times New Roman"/>
        </w:rPr>
        <w:t>regard men and women as unequal.</w:t>
      </w:r>
      <w:r>
        <w:rPr>
          <w:rFonts w:ascii="Times New Roman" w:hAnsi="Times New Roman" w:cs="Times New Roman"/>
        </w:rPr>
        <w:t xml:space="preserve"> For example, </w:t>
      </w:r>
      <w:r w:rsidR="007F652E">
        <w:rPr>
          <w:rFonts w:ascii="Times New Roman" w:hAnsi="Times New Roman" w:cs="Times New Roman"/>
        </w:rPr>
        <w:t>around this time</w:t>
      </w:r>
      <w:r>
        <w:rPr>
          <w:rFonts w:ascii="Times New Roman" w:hAnsi="Times New Roman" w:cs="Times New Roman"/>
        </w:rPr>
        <w:t xml:space="preserve">, 39 states had differing ages at which a boy or a girl could be married (Kanowitz, </w:t>
      </w:r>
      <w:r w:rsidR="007F652E">
        <w:rPr>
          <w:rFonts w:ascii="Times New Roman" w:hAnsi="Times New Roman" w:cs="Times New Roman"/>
        </w:rPr>
        <w:t xml:space="preserve">1969, p. 10). In every state that enforced a different age for young men than women, </w:t>
      </w:r>
      <w:r w:rsidR="00813FAF">
        <w:rPr>
          <w:rFonts w:ascii="Times New Roman" w:hAnsi="Times New Roman" w:cs="Times New Roman"/>
        </w:rPr>
        <w:t>with women</w:t>
      </w:r>
      <w:r w:rsidR="007F652E">
        <w:rPr>
          <w:rFonts w:ascii="Times New Roman" w:hAnsi="Times New Roman" w:cs="Times New Roman"/>
        </w:rPr>
        <w:t xml:space="preserve"> permitted to marry at a younger age. While these states argued physical, mental, and emotional maturity to be the foundations for this difference, that, for many, is not a satisfactory explanation. Many feared that these ages were reflective of the idea that “the married state [was] the only proper goal of womanhood</w:t>
      </w:r>
      <w:r w:rsidR="005340C4">
        <w:rPr>
          <w:rFonts w:ascii="Times New Roman" w:hAnsi="Times New Roman" w:cs="Times New Roman"/>
        </w:rPr>
        <w:t>,”</w:t>
      </w:r>
      <w:r w:rsidR="007F652E">
        <w:rPr>
          <w:rFonts w:ascii="Times New Roman" w:hAnsi="Times New Roman" w:cs="Times New Roman"/>
        </w:rPr>
        <w:t xml:space="preserve"> whereas “the male…while not </w:t>
      </w:r>
      <w:r w:rsidR="007F652E">
        <w:rPr>
          <w:rFonts w:ascii="Times New Roman" w:hAnsi="Times New Roman" w:cs="Times New Roman"/>
        </w:rPr>
        <w:lastRenderedPageBreak/>
        <w:t xml:space="preserve">to be denied the benefits of marriage, should also be encouraged to engage in bigger, better, and more useful pursuits” (Kanowitz, 1969, p. 10). </w:t>
      </w:r>
    </w:p>
    <w:p w14:paraId="01D8BCAB" w14:textId="0C34C7F5" w:rsidR="007A3A96" w:rsidRDefault="007A3A96" w:rsidP="00C81615">
      <w:pPr>
        <w:spacing w:line="480" w:lineRule="auto"/>
        <w:ind w:firstLine="720"/>
        <w:rPr>
          <w:rFonts w:ascii="Times New Roman" w:hAnsi="Times New Roman" w:cs="Times New Roman"/>
        </w:rPr>
      </w:pPr>
      <w:r>
        <w:rPr>
          <w:rFonts w:ascii="Times New Roman" w:hAnsi="Times New Roman" w:cs="Times New Roman"/>
        </w:rPr>
        <w:t>The intermediate level of scrutiny applied as a result of this time period successfully diminished the influence of the separate spheres doctrine that had been so pervasive in American</w:t>
      </w:r>
      <w:r w:rsidR="00E96616">
        <w:rPr>
          <w:rFonts w:ascii="Times New Roman" w:hAnsi="Times New Roman" w:cs="Times New Roman"/>
        </w:rPr>
        <w:t xml:space="preserve"> culture (Kuersten, 2011</w:t>
      </w:r>
      <w:r>
        <w:rPr>
          <w:rFonts w:ascii="Times New Roman" w:hAnsi="Times New Roman" w:cs="Times New Roman"/>
        </w:rPr>
        <w:t xml:space="preserve">). </w:t>
      </w:r>
      <w:r w:rsidR="00E96616">
        <w:rPr>
          <w:rFonts w:ascii="Times New Roman" w:hAnsi="Times New Roman" w:cs="Times New Roman"/>
        </w:rPr>
        <w:t>The Court successfully recognized the discriminatory nature of the pro</w:t>
      </w:r>
      <w:r w:rsidR="00171BE2">
        <w:rPr>
          <w:rFonts w:ascii="Times New Roman" w:hAnsi="Times New Roman" w:cs="Times New Roman"/>
        </w:rPr>
        <w:t>tective legislation of the 1950s and 1960</w:t>
      </w:r>
      <w:r w:rsidR="00E96616">
        <w:rPr>
          <w:rFonts w:ascii="Times New Roman" w:hAnsi="Times New Roman" w:cs="Times New Roman"/>
        </w:rPr>
        <w:t xml:space="preserve">s, and, as a result, women began gaining ground in a number of important areas. </w:t>
      </w:r>
    </w:p>
    <w:p w14:paraId="43D859E6" w14:textId="1CB65779" w:rsidR="00E96616" w:rsidRDefault="007A3A96" w:rsidP="00C81615">
      <w:pPr>
        <w:spacing w:line="480" w:lineRule="auto"/>
        <w:ind w:firstLine="720"/>
        <w:rPr>
          <w:rFonts w:ascii="Times New Roman" w:hAnsi="Times New Roman" w:cs="Times New Roman"/>
        </w:rPr>
      </w:pPr>
      <w:r>
        <w:rPr>
          <w:rFonts w:ascii="Times New Roman" w:hAnsi="Times New Roman" w:cs="Times New Roman"/>
        </w:rPr>
        <w:t xml:space="preserve">The 70’s also included a number of advancements for women in both </w:t>
      </w:r>
      <w:r w:rsidR="00E96616">
        <w:rPr>
          <w:rFonts w:ascii="Times New Roman" w:hAnsi="Times New Roman" w:cs="Times New Roman"/>
        </w:rPr>
        <w:t>reproductive rights and educatio</w:t>
      </w:r>
      <w:r w:rsidR="00171BE2">
        <w:rPr>
          <w:rFonts w:ascii="Times New Roman" w:hAnsi="Times New Roman" w:cs="Times New Roman"/>
        </w:rPr>
        <w:t>n. In 1973, the Court decided</w:t>
      </w:r>
      <w:r w:rsidR="00E96616">
        <w:rPr>
          <w:rFonts w:ascii="Times New Roman" w:hAnsi="Times New Roman" w:cs="Times New Roman"/>
        </w:rPr>
        <w:t xml:space="preserve"> </w:t>
      </w:r>
      <w:r w:rsidR="00E96616">
        <w:rPr>
          <w:rFonts w:ascii="Times New Roman" w:hAnsi="Times New Roman" w:cs="Times New Roman"/>
          <w:i/>
        </w:rPr>
        <w:t>Roe v. Wade</w:t>
      </w:r>
      <w:r w:rsidR="00E96616">
        <w:rPr>
          <w:rFonts w:ascii="Times New Roman" w:hAnsi="Times New Roman" w:cs="Times New Roman"/>
        </w:rPr>
        <w:t xml:space="preserve">, </w:t>
      </w:r>
      <w:r w:rsidR="00171BE2">
        <w:rPr>
          <w:rFonts w:ascii="Times New Roman" w:hAnsi="Times New Roman" w:cs="Times New Roman"/>
        </w:rPr>
        <w:t xml:space="preserve">ruling that, </w:t>
      </w:r>
      <w:r w:rsidR="00E96616">
        <w:rPr>
          <w:rFonts w:ascii="Times New Roman" w:hAnsi="Times New Roman" w:cs="Times New Roman"/>
        </w:rPr>
        <w:t xml:space="preserve"> “abortion was a fundamental right based on the right to privacy established in </w:t>
      </w:r>
      <w:r w:rsidR="00E96616">
        <w:rPr>
          <w:rFonts w:ascii="Times New Roman" w:hAnsi="Times New Roman" w:cs="Times New Roman"/>
          <w:i/>
        </w:rPr>
        <w:t>Griswold v. Connecticut</w:t>
      </w:r>
      <w:r w:rsidR="00E96616">
        <w:rPr>
          <w:rFonts w:ascii="Times New Roman" w:hAnsi="Times New Roman" w:cs="Times New Roman"/>
        </w:rPr>
        <w:t xml:space="preserve">” (Kuersten, 2011, p. xxx). In a 7-2 decision, the Court ruled that Texas’s state law banning abortions was unconstitutional on the grounds that the right to privacy was “broad enough to encompass a woman’s decision whether or not to terminate her pregnancy” (Kuersten, 2011, p. xxx). </w:t>
      </w:r>
      <w:r>
        <w:rPr>
          <w:rFonts w:ascii="Times New Roman" w:hAnsi="Times New Roman" w:cs="Times New Roman"/>
        </w:rPr>
        <w:t xml:space="preserve"> </w:t>
      </w:r>
    </w:p>
    <w:p w14:paraId="03C919DE" w14:textId="0AFF1D10" w:rsidR="007A3A96" w:rsidRDefault="007A3A96" w:rsidP="00C81615">
      <w:pPr>
        <w:spacing w:line="480" w:lineRule="auto"/>
        <w:ind w:firstLine="720"/>
        <w:rPr>
          <w:rFonts w:ascii="Times New Roman" w:hAnsi="Times New Roman" w:cs="Times New Roman"/>
        </w:rPr>
      </w:pPr>
      <w:r>
        <w:rPr>
          <w:rFonts w:ascii="Times New Roman" w:hAnsi="Times New Roman" w:cs="Times New Roman"/>
        </w:rPr>
        <w:t>Many feminist movements targeted the education system as a so</w:t>
      </w:r>
      <w:r w:rsidR="00171BE2">
        <w:rPr>
          <w:rFonts w:ascii="Times New Roman" w:hAnsi="Times New Roman" w:cs="Times New Roman"/>
        </w:rPr>
        <w:t>urce of the perpetuation of the now dated convention of</w:t>
      </w:r>
      <w:r>
        <w:rPr>
          <w:rFonts w:ascii="Times New Roman" w:hAnsi="Times New Roman" w:cs="Times New Roman"/>
        </w:rPr>
        <w:t xml:space="preserve"> separate spheres. “By 1973 over 500 colleges and universities offered over 2,000 courses in women’s studies”, and 78 institutions included women’s studies as an independent</w:t>
      </w:r>
      <w:r w:rsidR="00A01614">
        <w:rPr>
          <w:rFonts w:ascii="Times New Roman" w:hAnsi="Times New Roman" w:cs="Times New Roman"/>
        </w:rPr>
        <w:t xml:space="preserve"> program (Berkley, 1999</w:t>
      </w:r>
      <w:r>
        <w:rPr>
          <w:rFonts w:ascii="Times New Roman" w:hAnsi="Times New Roman" w:cs="Times New Roman"/>
        </w:rPr>
        <w:t xml:space="preserve">, p. 75). </w:t>
      </w:r>
      <w:r w:rsidR="00E96616">
        <w:rPr>
          <w:rFonts w:ascii="Times New Roman" w:hAnsi="Times New Roman" w:cs="Times New Roman"/>
        </w:rPr>
        <w:t>In a survey conducted on women’s educational goals in 1971, 18% of women still believed that “preparation for marriage and family was the most important reason for a</w:t>
      </w:r>
      <w:r w:rsidR="00A01614">
        <w:rPr>
          <w:rFonts w:ascii="Times New Roman" w:hAnsi="Times New Roman" w:cs="Times New Roman"/>
        </w:rPr>
        <w:t>ttending college” (Berkley, 1999</w:t>
      </w:r>
      <w:r w:rsidR="00E96616">
        <w:rPr>
          <w:rFonts w:ascii="Times New Roman" w:hAnsi="Times New Roman" w:cs="Times New Roman"/>
        </w:rPr>
        <w:t>, p. 75)</w:t>
      </w:r>
      <w:r w:rsidR="00171BE2">
        <w:rPr>
          <w:rFonts w:ascii="Times New Roman" w:hAnsi="Times New Roman" w:cs="Times New Roman"/>
        </w:rPr>
        <w:t>. By the conclusion of the 1970</w:t>
      </w:r>
      <w:r w:rsidR="00E96616">
        <w:rPr>
          <w:rFonts w:ascii="Times New Roman" w:hAnsi="Times New Roman" w:cs="Times New Roman"/>
        </w:rPr>
        <w:t xml:space="preserve">s, that figure plummeted to </w:t>
      </w:r>
      <w:r w:rsidR="00AF2B66">
        <w:rPr>
          <w:rFonts w:ascii="Times New Roman" w:hAnsi="Times New Roman" w:cs="Times New Roman"/>
        </w:rPr>
        <w:t>less than</w:t>
      </w:r>
      <w:r w:rsidR="00A01614">
        <w:rPr>
          <w:rFonts w:ascii="Times New Roman" w:hAnsi="Times New Roman" w:cs="Times New Roman"/>
        </w:rPr>
        <w:t xml:space="preserve"> 1% (Berkley, 1999</w:t>
      </w:r>
      <w:r w:rsidR="00E96616">
        <w:rPr>
          <w:rFonts w:ascii="Times New Roman" w:hAnsi="Times New Roman" w:cs="Times New Roman"/>
        </w:rPr>
        <w:t xml:space="preserve">, p. 75). </w:t>
      </w:r>
    </w:p>
    <w:p w14:paraId="7F5C7D19" w14:textId="72532D42" w:rsidR="00932242" w:rsidRDefault="00E96616" w:rsidP="00C81615">
      <w:pPr>
        <w:spacing w:line="480" w:lineRule="auto"/>
        <w:ind w:firstLine="720"/>
        <w:rPr>
          <w:rFonts w:ascii="Times New Roman" w:hAnsi="Times New Roman" w:cs="Times New Roman"/>
        </w:rPr>
      </w:pPr>
      <w:r>
        <w:rPr>
          <w:rFonts w:ascii="Times New Roman" w:hAnsi="Times New Roman" w:cs="Times New Roman"/>
        </w:rPr>
        <w:lastRenderedPageBreak/>
        <w:t xml:space="preserve">This period in American history was unique in terms of the advancement of women. Progress was made not only in terms of judicial rulings, but also in the societal reality and expectations of women. </w:t>
      </w:r>
    </w:p>
    <w:p w14:paraId="7BFC20DA" w14:textId="780A93E6" w:rsidR="00932242" w:rsidRDefault="00932242">
      <w:pPr>
        <w:rPr>
          <w:rFonts w:ascii="Times New Roman" w:hAnsi="Times New Roman" w:cs="Times New Roman"/>
        </w:rPr>
      </w:pPr>
    </w:p>
    <w:p w14:paraId="7C01F64F" w14:textId="0E420891" w:rsidR="00E96616" w:rsidRDefault="00171BE2" w:rsidP="00932242">
      <w:pPr>
        <w:spacing w:line="480" w:lineRule="auto"/>
        <w:ind w:firstLine="720"/>
        <w:jc w:val="center"/>
        <w:rPr>
          <w:rFonts w:ascii="Times New Roman" w:hAnsi="Times New Roman" w:cs="Times New Roman"/>
        </w:rPr>
      </w:pPr>
      <w:r>
        <w:rPr>
          <w:rFonts w:ascii="Times New Roman" w:hAnsi="Times New Roman" w:cs="Times New Roman"/>
        </w:rPr>
        <w:t>Gender Equality in the 1980s and 1990</w:t>
      </w:r>
      <w:r w:rsidR="00932242">
        <w:rPr>
          <w:rFonts w:ascii="Times New Roman" w:hAnsi="Times New Roman" w:cs="Times New Roman"/>
        </w:rPr>
        <w:t>s</w:t>
      </w:r>
    </w:p>
    <w:p w14:paraId="06F64069" w14:textId="43EE1CCC" w:rsidR="00A01614" w:rsidRDefault="00171BE2" w:rsidP="00A01614">
      <w:pPr>
        <w:spacing w:line="480" w:lineRule="auto"/>
        <w:ind w:firstLine="720"/>
        <w:rPr>
          <w:rFonts w:ascii="Times New Roman" w:hAnsi="Times New Roman" w:cs="Times New Roman"/>
        </w:rPr>
      </w:pPr>
      <w:r>
        <w:rPr>
          <w:rFonts w:ascii="Times New Roman" w:hAnsi="Times New Roman" w:cs="Times New Roman"/>
        </w:rPr>
        <w:t>The 1980s and 1990</w:t>
      </w:r>
      <w:r w:rsidR="006663B3">
        <w:rPr>
          <w:rFonts w:ascii="Times New Roman" w:hAnsi="Times New Roman" w:cs="Times New Roman"/>
        </w:rPr>
        <w:t xml:space="preserve">s continued on the surge </w:t>
      </w:r>
      <w:r>
        <w:rPr>
          <w:rFonts w:ascii="Times New Roman" w:hAnsi="Times New Roman" w:cs="Times New Roman"/>
        </w:rPr>
        <w:t>of progress enjoyed in the 1970</w:t>
      </w:r>
      <w:r w:rsidR="006663B3">
        <w:rPr>
          <w:rFonts w:ascii="Times New Roman" w:hAnsi="Times New Roman" w:cs="Times New Roman"/>
        </w:rPr>
        <w:t xml:space="preserve">s for women’s equality. In 1981, Ronald Reagan delivered on his promise to diversify the Supreme Court by nominating </w:t>
      </w:r>
      <w:r w:rsidR="00A01614">
        <w:rPr>
          <w:rFonts w:ascii="Times New Roman" w:hAnsi="Times New Roman" w:cs="Times New Roman"/>
        </w:rPr>
        <w:t xml:space="preserve">the first female Justice, </w:t>
      </w:r>
      <w:r w:rsidR="006663B3">
        <w:rPr>
          <w:rFonts w:ascii="Times New Roman" w:hAnsi="Times New Roman" w:cs="Times New Roman"/>
        </w:rPr>
        <w:t xml:space="preserve">Sandra Day O’Connor. In her first case, </w:t>
      </w:r>
      <w:r w:rsidR="006663B3">
        <w:rPr>
          <w:rFonts w:ascii="Times New Roman" w:hAnsi="Times New Roman" w:cs="Times New Roman"/>
          <w:i/>
        </w:rPr>
        <w:t>Mississippi University for Women v. Hogan</w:t>
      </w:r>
      <w:r w:rsidR="006663B3">
        <w:rPr>
          <w:rFonts w:ascii="Times New Roman" w:hAnsi="Times New Roman" w:cs="Times New Roman"/>
        </w:rPr>
        <w:t>, she voiced her opinion on gender discrimination, stating, “when the purpose of a law is to exclude members of one gender because they are presumed to… be innately inferior, the objective [of the law] is illegitimate</w:t>
      </w:r>
      <w:r w:rsidR="00A01614">
        <w:rPr>
          <w:rFonts w:ascii="Times New Roman" w:hAnsi="Times New Roman" w:cs="Times New Roman"/>
        </w:rPr>
        <w:t xml:space="preserve"> (Kuersten, 2011, p. xxvi). During her time on the Court, O’Connor, along with four other justices, continued to support the “heightened standard of review for gender discrimination c</w:t>
      </w:r>
      <w:r w:rsidR="006655A8">
        <w:rPr>
          <w:rFonts w:ascii="Times New Roman" w:hAnsi="Times New Roman" w:cs="Times New Roman"/>
        </w:rPr>
        <w:t xml:space="preserve">ases” established in the </w:t>
      </w:r>
      <w:r>
        <w:rPr>
          <w:rFonts w:ascii="Times New Roman" w:hAnsi="Times New Roman" w:cs="Times New Roman"/>
        </w:rPr>
        <w:t>1970</w:t>
      </w:r>
      <w:r w:rsidR="006655A8">
        <w:rPr>
          <w:rFonts w:ascii="Times New Roman" w:hAnsi="Times New Roman" w:cs="Times New Roman"/>
        </w:rPr>
        <w:t>s</w:t>
      </w:r>
      <w:r w:rsidR="00A01614">
        <w:rPr>
          <w:rFonts w:ascii="Times New Roman" w:hAnsi="Times New Roman" w:cs="Times New Roman"/>
        </w:rPr>
        <w:t xml:space="preserve"> (Kuersten, 2011, p. xxvii). </w:t>
      </w:r>
    </w:p>
    <w:p w14:paraId="38BDAF95" w14:textId="783380F2" w:rsidR="00A01614" w:rsidRDefault="00A01614" w:rsidP="00A01614">
      <w:pPr>
        <w:spacing w:line="480" w:lineRule="auto"/>
        <w:ind w:firstLine="720"/>
        <w:rPr>
          <w:rFonts w:ascii="Times New Roman" w:hAnsi="Times New Roman" w:cs="Times New Roman"/>
        </w:rPr>
      </w:pPr>
      <w:r>
        <w:rPr>
          <w:rFonts w:ascii="Times New Roman" w:hAnsi="Times New Roman" w:cs="Times New Roman"/>
        </w:rPr>
        <w:t>Despite promising p</w:t>
      </w:r>
      <w:r w:rsidR="0009740F">
        <w:rPr>
          <w:rFonts w:ascii="Times New Roman" w:hAnsi="Times New Roman" w:cs="Times New Roman"/>
        </w:rPr>
        <w:t>ositioning in the Court, the 1980</w:t>
      </w:r>
      <w:r>
        <w:rPr>
          <w:rFonts w:ascii="Times New Roman" w:hAnsi="Times New Roman" w:cs="Times New Roman"/>
        </w:rPr>
        <w:t>s experienced a number of setbacks regard</w:t>
      </w:r>
      <w:r w:rsidR="00171BE2">
        <w:rPr>
          <w:rFonts w:ascii="Times New Roman" w:hAnsi="Times New Roman" w:cs="Times New Roman"/>
        </w:rPr>
        <w:t>ing reproductive rights. In 1981,</w:t>
      </w:r>
      <w:r w:rsidR="006655A8">
        <w:rPr>
          <w:rFonts w:ascii="Times New Roman" w:hAnsi="Times New Roman" w:cs="Times New Roman"/>
        </w:rPr>
        <w:t xml:space="preserve"> </w:t>
      </w:r>
      <w:r>
        <w:rPr>
          <w:rFonts w:ascii="Times New Roman" w:hAnsi="Times New Roman" w:cs="Times New Roman"/>
        </w:rPr>
        <w:t xml:space="preserve">a legislative program called the Family Protection Act was designed by the New Right in an effort to “strengthen” the American family (Berkley, 1999, p. 91). This movement called for “public policies favoring marriage, childbirth, heterosexuality, and the role of the husband as the head of the household” (Berkley, 1999, p. 91). </w:t>
      </w:r>
      <w:r w:rsidR="0091719E">
        <w:rPr>
          <w:rFonts w:ascii="Times New Roman" w:hAnsi="Times New Roman" w:cs="Times New Roman"/>
        </w:rPr>
        <w:t xml:space="preserve">Feminists spent much </w:t>
      </w:r>
      <w:r w:rsidR="00171BE2">
        <w:rPr>
          <w:rFonts w:ascii="Times New Roman" w:hAnsi="Times New Roman" w:cs="Times New Roman"/>
        </w:rPr>
        <w:t>of the 1980</w:t>
      </w:r>
      <w:r w:rsidR="0091719E">
        <w:rPr>
          <w:rFonts w:ascii="Times New Roman" w:hAnsi="Times New Roman" w:cs="Times New Roman"/>
        </w:rPr>
        <w:t>s combatting reforms and restrictions made to abortion laws as the more conservative government pushed to limit access (Berkley, 1999</w:t>
      </w:r>
      <w:r w:rsidR="00171BE2">
        <w:rPr>
          <w:rFonts w:ascii="Times New Roman" w:hAnsi="Times New Roman" w:cs="Times New Roman"/>
        </w:rPr>
        <w:t>).</w:t>
      </w:r>
      <w:r w:rsidR="0091719E">
        <w:rPr>
          <w:rFonts w:ascii="Times New Roman" w:hAnsi="Times New Roman" w:cs="Times New Roman"/>
        </w:rPr>
        <w:t xml:space="preserve"> </w:t>
      </w:r>
    </w:p>
    <w:p w14:paraId="6C2A5B50" w14:textId="1C20E1BF" w:rsidR="0091719E" w:rsidRDefault="0091719E" w:rsidP="00A01614">
      <w:pPr>
        <w:spacing w:line="480" w:lineRule="auto"/>
        <w:ind w:firstLine="720"/>
        <w:rPr>
          <w:rFonts w:ascii="Times New Roman" w:hAnsi="Times New Roman" w:cs="Times New Roman"/>
        </w:rPr>
      </w:pPr>
      <w:r>
        <w:rPr>
          <w:rFonts w:ascii="Times New Roman" w:hAnsi="Times New Roman" w:cs="Times New Roman"/>
        </w:rPr>
        <w:t>As a result of the prominence of women’s reproductive rights</w:t>
      </w:r>
      <w:r w:rsidR="00171BE2">
        <w:rPr>
          <w:rFonts w:ascii="Times New Roman" w:hAnsi="Times New Roman" w:cs="Times New Roman"/>
        </w:rPr>
        <w:t xml:space="preserve"> as a “wedge issue” in the 1980</w:t>
      </w:r>
      <w:r>
        <w:rPr>
          <w:rFonts w:ascii="Times New Roman" w:hAnsi="Times New Roman" w:cs="Times New Roman"/>
        </w:rPr>
        <w:t>s, the 1</w:t>
      </w:r>
      <w:r w:rsidR="00171BE2">
        <w:rPr>
          <w:rFonts w:ascii="Times New Roman" w:hAnsi="Times New Roman" w:cs="Times New Roman"/>
        </w:rPr>
        <w:t>990</w:t>
      </w:r>
      <w:r>
        <w:rPr>
          <w:rFonts w:ascii="Times New Roman" w:hAnsi="Times New Roman" w:cs="Times New Roman"/>
        </w:rPr>
        <w:t xml:space="preserve">s featured an increase in female political engagement (Berkley, </w:t>
      </w:r>
      <w:r>
        <w:rPr>
          <w:rFonts w:ascii="Times New Roman" w:hAnsi="Times New Roman" w:cs="Times New Roman"/>
        </w:rPr>
        <w:lastRenderedPageBreak/>
        <w:t xml:space="preserve">1999). </w:t>
      </w:r>
      <w:r w:rsidR="00B27467">
        <w:rPr>
          <w:rFonts w:ascii="Times New Roman" w:hAnsi="Times New Roman" w:cs="Times New Roman"/>
        </w:rPr>
        <w:t xml:space="preserve">This increase was also </w:t>
      </w:r>
      <w:r w:rsidR="00F6063F">
        <w:rPr>
          <w:rFonts w:ascii="Times New Roman" w:hAnsi="Times New Roman" w:cs="Times New Roman"/>
        </w:rPr>
        <w:t>spurred</w:t>
      </w:r>
      <w:r w:rsidR="00B27467">
        <w:rPr>
          <w:rFonts w:ascii="Times New Roman" w:hAnsi="Times New Roman" w:cs="Times New Roman"/>
        </w:rPr>
        <w:t xml:space="preserve"> by the 1991 nomination of Clarence Thomas to the Supreme Court. Though Thomas was initially seen as an accomplished choice for a conservative seat, his Senate confirmation hearings brought accusations of sexual harassment from a former employee, Anita Hill </w:t>
      </w:r>
      <w:r w:rsidR="008F6DB9">
        <w:rPr>
          <w:rFonts w:ascii="Times New Roman" w:hAnsi="Times New Roman" w:cs="Times New Roman"/>
        </w:rPr>
        <w:t>(</w:t>
      </w:r>
      <w:r w:rsidR="00B27467">
        <w:rPr>
          <w:rFonts w:ascii="Times New Roman" w:hAnsi="Times New Roman" w:cs="Times New Roman"/>
        </w:rPr>
        <w:t xml:space="preserve">Kuersten, 2011). </w:t>
      </w:r>
      <w:r w:rsidR="00BA21A2">
        <w:rPr>
          <w:rFonts w:ascii="Times New Roman" w:hAnsi="Times New Roman" w:cs="Times New Roman"/>
        </w:rPr>
        <w:t xml:space="preserve">Hill never reported these </w:t>
      </w:r>
      <w:r w:rsidR="008F6DB9">
        <w:rPr>
          <w:rFonts w:ascii="Times New Roman" w:hAnsi="Times New Roman" w:cs="Times New Roman"/>
        </w:rPr>
        <w:t>allegations</w:t>
      </w:r>
      <w:r w:rsidR="00BA21A2">
        <w:rPr>
          <w:rFonts w:ascii="Times New Roman" w:hAnsi="Times New Roman" w:cs="Times New Roman"/>
        </w:rPr>
        <w:t xml:space="preserve"> to her superiors</w:t>
      </w:r>
      <w:r w:rsidR="008F6DB9">
        <w:rPr>
          <w:rFonts w:ascii="Times New Roman" w:hAnsi="Times New Roman" w:cs="Times New Roman"/>
        </w:rPr>
        <w:t xml:space="preserve">, but many women had similar experiences of sexual harassment in the workplace, and were even more enraged when they saw Hill being questioned by the </w:t>
      </w:r>
      <w:r w:rsidR="00E53268">
        <w:rPr>
          <w:rFonts w:ascii="Times New Roman" w:hAnsi="Times New Roman" w:cs="Times New Roman"/>
        </w:rPr>
        <w:t>“</w:t>
      </w:r>
      <w:r w:rsidR="008F6DB9">
        <w:rPr>
          <w:rFonts w:ascii="Times New Roman" w:hAnsi="Times New Roman" w:cs="Times New Roman"/>
        </w:rPr>
        <w:t>all-male</w:t>
      </w:r>
      <w:r w:rsidR="00F6063F">
        <w:rPr>
          <w:rFonts w:ascii="Times New Roman" w:hAnsi="Times New Roman" w:cs="Times New Roman"/>
        </w:rPr>
        <w:t>,</w:t>
      </w:r>
      <w:r w:rsidR="008F6DB9">
        <w:rPr>
          <w:rFonts w:ascii="Times New Roman" w:hAnsi="Times New Roman" w:cs="Times New Roman"/>
        </w:rPr>
        <w:t xml:space="preserve"> all-white Senate</w:t>
      </w:r>
      <w:r w:rsidR="00E53268">
        <w:rPr>
          <w:rFonts w:ascii="Times New Roman" w:hAnsi="Times New Roman" w:cs="Times New Roman"/>
        </w:rPr>
        <w:t>”</w:t>
      </w:r>
      <w:r w:rsidR="008F6DB9">
        <w:rPr>
          <w:rFonts w:ascii="Times New Roman" w:hAnsi="Times New Roman" w:cs="Times New Roman"/>
        </w:rPr>
        <w:t xml:space="preserve"> (Kuersten, 2011, p. xxxi). Following Thomas’s confirmation, the topic of sexual harassment in the workplace led to political activism, and in 1992 women took to the polls. </w:t>
      </w:r>
      <w:r w:rsidR="0078035D">
        <w:rPr>
          <w:rFonts w:ascii="Times New Roman" w:hAnsi="Times New Roman" w:cs="Times New Roman"/>
        </w:rPr>
        <w:t xml:space="preserve">Women were more represented in Congress, Governor’s seats, and judicial benches than at any other time in American history </w:t>
      </w:r>
      <w:r w:rsidR="008F6DB9">
        <w:rPr>
          <w:rFonts w:ascii="Times New Roman" w:hAnsi="Times New Roman" w:cs="Times New Roman"/>
        </w:rPr>
        <w:t xml:space="preserve">(Kuersten, 2011). Many called 1992 “the Year of the Woman” as a result (Kuersten, 2011, p. xxxii). </w:t>
      </w:r>
    </w:p>
    <w:p w14:paraId="127F11F3" w14:textId="089FF1A4" w:rsidR="008F6DB9" w:rsidRDefault="008F6DB9" w:rsidP="00A01614">
      <w:pPr>
        <w:spacing w:line="480" w:lineRule="auto"/>
        <w:ind w:firstLine="720"/>
        <w:rPr>
          <w:rFonts w:ascii="Times New Roman" w:hAnsi="Times New Roman" w:cs="Times New Roman"/>
        </w:rPr>
      </w:pPr>
      <w:r>
        <w:rPr>
          <w:rFonts w:ascii="Times New Roman" w:hAnsi="Times New Roman" w:cs="Times New Roman"/>
        </w:rPr>
        <w:t>This activism was short lived, however. As was evident in previous women’s rights victories, many groups lost visibility after 1992, and election rates for women dropped back to normal</w:t>
      </w:r>
      <w:r w:rsidR="00FB78AE">
        <w:rPr>
          <w:rFonts w:ascii="Times New Roman" w:hAnsi="Times New Roman" w:cs="Times New Roman"/>
        </w:rPr>
        <w:t xml:space="preserve"> (Kuersten, 2011)</w:t>
      </w:r>
      <w:r>
        <w:rPr>
          <w:rFonts w:ascii="Times New Roman" w:hAnsi="Times New Roman" w:cs="Times New Roman"/>
        </w:rPr>
        <w:t xml:space="preserve">. </w:t>
      </w:r>
      <w:r w:rsidR="006655A8">
        <w:rPr>
          <w:rFonts w:ascii="Times New Roman" w:hAnsi="Times New Roman" w:cs="Times New Roman"/>
        </w:rPr>
        <w:t xml:space="preserve">The </w:t>
      </w:r>
      <w:r w:rsidR="00FB78AE">
        <w:rPr>
          <w:rFonts w:ascii="Times New Roman" w:hAnsi="Times New Roman" w:cs="Times New Roman"/>
        </w:rPr>
        <w:t>tensions that developed over this time period are representative of a significant shift in the influential capacity of women. These decades showcased women actively engaging in the national dialogue on gender equality issues, ultimately leading to a dramatic increase in civil</w:t>
      </w:r>
      <w:r w:rsidR="00F6063F">
        <w:rPr>
          <w:rFonts w:ascii="Times New Roman" w:hAnsi="Times New Roman" w:cs="Times New Roman"/>
        </w:rPr>
        <w:t xml:space="preserve"> rights and</w:t>
      </w:r>
      <w:r w:rsidR="00FB78AE">
        <w:rPr>
          <w:rFonts w:ascii="Times New Roman" w:hAnsi="Times New Roman" w:cs="Times New Roman"/>
        </w:rPr>
        <w:t xml:space="preserve"> responsibilities from which they had once been completely excluded (Kuersten, 2011). Though many issues do not seem indicative of advancing the cause for equality, the overall engagem</w:t>
      </w:r>
      <w:r w:rsidR="00F6063F">
        <w:rPr>
          <w:rFonts w:ascii="Times New Roman" w:hAnsi="Times New Roman" w:cs="Times New Roman"/>
        </w:rPr>
        <w:t>ent of women during this time was</w:t>
      </w:r>
      <w:r w:rsidR="00FB78AE">
        <w:rPr>
          <w:rFonts w:ascii="Times New Roman" w:hAnsi="Times New Roman" w:cs="Times New Roman"/>
        </w:rPr>
        <w:t xml:space="preserve"> a notable achievement. </w:t>
      </w:r>
    </w:p>
    <w:p w14:paraId="649E88B5" w14:textId="3B2EA842" w:rsidR="00932242" w:rsidRDefault="006663B3" w:rsidP="00F6063F">
      <w:pPr>
        <w:spacing w:line="480" w:lineRule="auto"/>
        <w:ind w:firstLine="720"/>
        <w:jc w:val="center"/>
        <w:rPr>
          <w:rFonts w:ascii="Times New Roman" w:hAnsi="Times New Roman" w:cs="Times New Roman"/>
        </w:rPr>
      </w:pPr>
      <w:r>
        <w:rPr>
          <w:rFonts w:ascii="Times New Roman" w:hAnsi="Times New Roman" w:cs="Times New Roman"/>
        </w:rPr>
        <w:t>Prevalence of Foundational Beliefs in Legislation Today</w:t>
      </w:r>
    </w:p>
    <w:p w14:paraId="7B22D969" w14:textId="1A85FADC" w:rsidR="00932242" w:rsidRPr="008D4A58" w:rsidRDefault="00932242" w:rsidP="00932242">
      <w:pPr>
        <w:spacing w:line="480" w:lineRule="auto"/>
        <w:ind w:firstLine="720"/>
        <w:rPr>
          <w:rFonts w:ascii="Times New Roman" w:hAnsi="Times New Roman" w:cs="Times New Roman"/>
        </w:rPr>
      </w:pPr>
      <w:r>
        <w:rPr>
          <w:rFonts w:ascii="Times New Roman" w:hAnsi="Times New Roman" w:cs="Times New Roman"/>
        </w:rPr>
        <w:lastRenderedPageBreak/>
        <w:t>Upon examining the history of women’s fight for equality, it is clear that a number of incremental vi</w:t>
      </w:r>
      <w:r w:rsidR="00F6063F">
        <w:rPr>
          <w:rFonts w:ascii="Times New Roman" w:hAnsi="Times New Roman" w:cs="Times New Roman"/>
        </w:rPr>
        <w:t>ctories led, over time, to wide</w:t>
      </w:r>
      <w:r>
        <w:rPr>
          <w:rFonts w:ascii="Times New Roman" w:hAnsi="Times New Roman" w:cs="Times New Roman"/>
        </w:rPr>
        <w:t>spread change. “While law has and continues to operate as a restraint upon women’s full participation in society, law has also worked as a facilitating structure” (Thomas, 2011, p.1)</w:t>
      </w:r>
      <w:r w:rsidR="00F6063F">
        <w:rPr>
          <w:rFonts w:ascii="Times New Roman" w:hAnsi="Times New Roman" w:cs="Times New Roman"/>
        </w:rPr>
        <w:t>.</w:t>
      </w:r>
      <w:r>
        <w:rPr>
          <w:rFonts w:ascii="Times New Roman" w:hAnsi="Times New Roman" w:cs="Times New Roman"/>
        </w:rPr>
        <w:t xml:space="preserve"> It is vital to reexamine the gradual progression of women for a number of reasons, both to understand the restraints and facilitating nature of the law, and because “such reexaminations of American legal history contribute to discussions of the law and policy decisions of today in ways that promote women’s rights, women’s interests, and women’s empowerments</w:t>
      </w:r>
      <w:r w:rsidR="00F6063F">
        <w:rPr>
          <w:rFonts w:ascii="Times New Roman" w:hAnsi="Times New Roman" w:cs="Times New Roman"/>
        </w:rPr>
        <w:t>”</w:t>
      </w:r>
      <w:r>
        <w:rPr>
          <w:rFonts w:ascii="Times New Roman" w:hAnsi="Times New Roman" w:cs="Times New Roman"/>
        </w:rPr>
        <w:t xml:space="preserve"> (Thomas, 2011, p. 1). It is especially vital because, despite the progress that has been made, laws regarding sexual violence against women have evolved at a dramatically slower rate and are, even now, directly related to those </w:t>
      </w:r>
      <w:r w:rsidR="00F6063F">
        <w:rPr>
          <w:rFonts w:ascii="Times New Roman" w:hAnsi="Times New Roman" w:cs="Times New Roman"/>
        </w:rPr>
        <w:t>legal precedents</w:t>
      </w:r>
      <w:r>
        <w:rPr>
          <w:rFonts w:ascii="Times New Roman" w:hAnsi="Times New Roman" w:cs="Times New Roman"/>
        </w:rPr>
        <w:t xml:space="preserve"> established upon the founding of our nation. </w:t>
      </w:r>
    </w:p>
    <w:p w14:paraId="6B770AC4" w14:textId="498CCBEE" w:rsidR="00932242" w:rsidRDefault="0096245B" w:rsidP="0096245B">
      <w:pPr>
        <w:spacing w:line="480" w:lineRule="auto"/>
        <w:ind w:firstLine="720"/>
        <w:rPr>
          <w:rFonts w:ascii="Times New Roman" w:hAnsi="Times New Roman" w:cs="Times New Roman"/>
        </w:rPr>
      </w:pPr>
      <w:r>
        <w:rPr>
          <w:rFonts w:ascii="Times New Roman" w:hAnsi="Times New Roman" w:cs="Times New Roman"/>
        </w:rPr>
        <w:t xml:space="preserve">Though there are a number of laws that could be examined as having progressed slower, and being connected to common law and coverture, this analysis will focus primarily on the evolution of marital rape laws in America. </w:t>
      </w:r>
      <w:r w:rsidR="00932242">
        <w:rPr>
          <w:rFonts w:ascii="Times New Roman" w:hAnsi="Times New Roman" w:cs="Times New Roman"/>
        </w:rPr>
        <w:t>Throughout history it has been the case that, despite the advancement of women in a number of other areas, laws regarding sexual morality have undergone less reform than laws in other categories (</w:t>
      </w:r>
      <w:r w:rsidR="00B469D3">
        <w:rPr>
          <w:rFonts w:ascii="Times New Roman" w:hAnsi="Times New Roman" w:cs="Times New Roman"/>
        </w:rPr>
        <w:t>Kanowitz, 1973, p. 104</w:t>
      </w:r>
      <w:r w:rsidR="00932242">
        <w:rPr>
          <w:rFonts w:ascii="Times New Roman" w:hAnsi="Times New Roman" w:cs="Times New Roman"/>
        </w:rPr>
        <w:t xml:space="preserve">). </w:t>
      </w:r>
    </w:p>
    <w:p w14:paraId="179A9E20" w14:textId="6343548D" w:rsidR="00D326A3" w:rsidRDefault="006663B3" w:rsidP="00FB78AE">
      <w:pPr>
        <w:spacing w:line="480" w:lineRule="auto"/>
        <w:ind w:firstLine="720"/>
        <w:rPr>
          <w:rFonts w:ascii="Times New Roman" w:hAnsi="Times New Roman" w:cs="Times New Roman"/>
        </w:rPr>
      </w:pPr>
      <w:r>
        <w:rPr>
          <w:rFonts w:ascii="Times New Roman" w:hAnsi="Times New Roman" w:cs="Times New Roman"/>
        </w:rPr>
        <w:t>In his writings, Blackstone claim</w:t>
      </w:r>
      <w:r w:rsidR="00F6063F">
        <w:rPr>
          <w:rFonts w:ascii="Times New Roman" w:hAnsi="Times New Roman" w:cs="Times New Roman"/>
        </w:rPr>
        <w:t>ed that a woman consented to a</w:t>
      </w:r>
      <w:r>
        <w:rPr>
          <w:rFonts w:ascii="Times New Roman" w:hAnsi="Times New Roman" w:cs="Times New Roman"/>
        </w:rPr>
        <w:t xml:space="preserve"> change in status by agreeing to marry. This consent, according to Blackstone, however, “ended </w:t>
      </w:r>
      <w:r w:rsidR="00D326A3">
        <w:rPr>
          <w:rFonts w:ascii="Times New Roman" w:hAnsi="Times New Roman" w:cs="Times New Roman"/>
        </w:rPr>
        <w:t>abruptly at the church door” (Stretton, 2</w:t>
      </w:r>
      <w:r w:rsidR="00F6063F">
        <w:rPr>
          <w:rFonts w:ascii="Times New Roman" w:hAnsi="Times New Roman" w:cs="Times New Roman"/>
        </w:rPr>
        <w:t>009, p. 123). This concept of a kind of</w:t>
      </w:r>
      <w:r w:rsidR="00D326A3">
        <w:rPr>
          <w:rFonts w:ascii="Times New Roman" w:hAnsi="Times New Roman" w:cs="Times New Roman"/>
        </w:rPr>
        <w:t xml:space="preserve"> eternal consent was one of the foundational elements in constructing early rape legislation. Under this assumption, </w:t>
      </w:r>
      <w:r w:rsidR="001E6C2D">
        <w:rPr>
          <w:rFonts w:ascii="Times New Roman" w:hAnsi="Times New Roman" w:cs="Times New Roman"/>
        </w:rPr>
        <w:t xml:space="preserve">clarified by Sir Matthew Hale, </w:t>
      </w:r>
      <w:r w:rsidR="00D326A3">
        <w:rPr>
          <w:rFonts w:ascii="Times New Roman" w:hAnsi="Times New Roman" w:cs="Times New Roman"/>
        </w:rPr>
        <w:t xml:space="preserve">“a husband could not be found guilty of rape </w:t>
      </w:r>
      <w:r w:rsidR="00D326A3">
        <w:rPr>
          <w:rFonts w:ascii="Times New Roman" w:hAnsi="Times New Roman" w:cs="Times New Roman"/>
        </w:rPr>
        <w:lastRenderedPageBreak/>
        <w:t>within marriage for their mutual matrimonial consent</w:t>
      </w:r>
      <w:r w:rsidR="001E6C2D">
        <w:rPr>
          <w:rFonts w:ascii="Times New Roman" w:hAnsi="Times New Roman" w:cs="Times New Roman"/>
        </w:rPr>
        <w:t>”</w:t>
      </w:r>
      <w:r w:rsidR="00D326A3">
        <w:rPr>
          <w:rFonts w:ascii="Times New Roman" w:hAnsi="Times New Roman" w:cs="Times New Roman"/>
        </w:rPr>
        <w:t xml:space="preserve"> (Stretton, 2009, p. 123). This was further enforced by Blackstone’s co</w:t>
      </w:r>
      <w:r w:rsidR="00F43B89">
        <w:rPr>
          <w:rFonts w:ascii="Times New Roman" w:hAnsi="Times New Roman" w:cs="Times New Roman"/>
        </w:rPr>
        <w:t xml:space="preserve">ncept of unity of a person. </w:t>
      </w:r>
      <w:proofErr w:type="gramStart"/>
      <w:r w:rsidR="00F43B89">
        <w:rPr>
          <w:rFonts w:ascii="Times New Roman" w:hAnsi="Times New Roman" w:cs="Times New Roman"/>
        </w:rPr>
        <w:t>The</w:t>
      </w:r>
      <w:r w:rsidR="00D326A3">
        <w:rPr>
          <w:rFonts w:ascii="Times New Roman" w:hAnsi="Times New Roman" w:cs="Times New Roman"/>
        </w:rPr>
        <w:t xml:space="preserve"> under</w:t>
      </w:r>
      <w:r w:rsidR="00E53268">
        <w:rPr>
          <w:rFonts w:ascii="Times New Roman" w:hAnsi="Times New Roman" w:cs="Times New Roman"/>
        </w:rPr>
        <w:t>standing that a woma</w:t>
      </w:r>
      <w:r w:rsidR="00F6063F">
        <w:rPr>
          <w:rFonts w:ascii="Times New Roman" w:hAnsi="Times New Roman" w:cs="Times New Roman"/>
        </w:rPr>
        <w:t>n shared an</w:t>
      </w:r>
      <w:r w:rsidR="00D326A3">
        <w:rPr>
          <w:rFonts w:ascii="Times New Roman" w:hAnsi="Times New Roman" w:cs="Times New Roman"/>
        </w:rPr>
        <w:t xml:space="preserve"> identity with and became</w:t>
      </w:r>
      <w:r w:rsidR="00F43B89">
        <w:rPr>
          <w:rFonts w:ascii="Times New Roman" w:hAnsi="Times New Roman" w:cs="Times New Roman"/>
        </w:rPr>
        <w:t xml:space="preserve"> </w:t>
      </w:r>
      <w:r w:rsidR="00E53268">
        <w:rPr>
          <w:rFonts w:ascii="Times New Roman" w:hAnsi="Times New Roman" w:cs="Times New Roman"/>
        </w:rPr>
        <w:t xml:space="preserve">the property of her husband </w:t>
      </w:r>
      <w:r w:rsidR="00F43B89">
        <w:rPr>
          <w:rFonts w:ascii="Times New Roman" w:hAnsi="Times New Roman" w:cs="Times New Roman"/>
        </w:rPr>
        <w:t>translated to mean that a husband was always entitled to his wife’s body</w:t>
      </w:r>
      <w:r w:rsidR="006655A8">
        <w:rPr>
          <w:rFonts w:ascii="Times New Roman" w:hAnsi="Times New Roman" w:cs="Times New Roman"/>
        </w:rPr>
        <w:t>.</w:t>
      </w:r>
      <w:proofErr w:type="gramEnd"/>
      <w:r w:rsidR="006655A8">
        <w:rPr>
          <w:rFonts w:ascii="Times New Roman" w:hAnsi="Times New Roman" w:cs="Times New Roman"/>
        </w:rPr>
        <w:t xml:space="preserve"> The contract of marriage insisted</w:t>
      </w:r>
      <w:r w:rsidR="001E6C2D">
        <w:rPr>
          <w:rFonts w:ascii="Times New Roman" w:hAnsi="Times New Roman" w:cs="Times New Roman"/>
        </w:rPr>
        <w:t>, according to Hale,</w:t>
      </w:r>
      <w:r w:rsidR="006655A8">
        <w:rPr>
          <w:rFonts w:ascii="Times New Roman" w:hAnsi="Times New Roman" w:cs="Times New Roman"/>
        </w:rPr>
        <w:t xml:space="preserve"> “the wife hath given herself in this kind unto her husband, which she cannot retract” (Stretton, 2009, p. 123). </w:t>
      </w:r>
    </w:p>
    <w:p w14:paraId="73500BE7" w14:textId="77555BBF" w:rsidR="00E453DB" w:rsidRDefault="00E453DB" w:rsidP="00FB78AE">
      <w:pPr>
        <w:spacing w:line="480" w:lineRule="auto"/>
        <w:ind w:firstLine="720"/>
        <w:rPr>
          <w:rFonts w:ascii="Times New Roman" w:hAnsi="Times New Roman" w:cs="Times New Roman"/>
        </w:rPr>
      </w:pPr>
      <w:r>
        <w:rPr>
          <w:rFonts w:ascii="Times New Roman" w:hAnsi="Times New Roman" w:cs="Times New Roman"/>
        </w:rPr>
        <w:t xml:space="preserve">These ideas were supported by societal expectations of the time as well. It was believed that, “the purpose of marriage was procreation and the wife’s promise to obey meant that the husband had a right to sexual intercourse with the wife upon all occasions. Her personal consent was irrelevant; the women’s subjective feelings on a particular occasion were not important” (Bourque, 1989, p. 115). These beliefs </w:t>
      </w:r>
      <w:r w:rsidR="00F6063F">
        <w:rPr>
          <w:rFonts w:ascii="Times New Roman" w:hAnsi="Times New Roman" w:cs="Times New Roman"/>
        </w:rPr>
        <w:t>permeated in</w:t>
      </w:r>
      <w:r>
        <w:rPr>
          <w:rFonts w:ascii="Times New Roman" w:hAnsi="Times New Roman" w:cs="Times New Roman"/>
        </w:rPr>
        <w:t xml:space="preserve"> the American legal system </w:t>
      </w:r>
      <w:r w:rsidR="00F6063F">
        <w:rPr>
          <w:rFonts w:ascii="Times New Roman" w:hAnsi="Times New Roman" w:cs="Times New Roman"/>
        </w:rPr>
        <w:t>with respect to marital rape.</w:t>
      </w:r>
    </w:p>
    <w:p w14:paraId="72931F8F" w14:textId="28105F63" w:rsidR="007753E8" w:rsidRDefault="00FB78AE" w:rsidP="007753E8">
      <w:pPr>
        <w:spacing w:line="480" w:lineRule="auto"/>
        <w:ind w:firstLine="720"/>
        <w:rPr>
          <w:rFonts w:ascii="Times New Roman" w:hAnsi="Times New Roman" w:cs="Times New Roman"/>
        </w:rPr>
      </w:pPr>
      <w:r>
        <w:rPr>
          <w:rFonts w:ascii="Times New Roman" w:hAnsi="Times New Roman" w:cs="Times New Roman"/>
        </w:rPr>
        <w:t>This resulted in</w:t>
      </w:r>
      <w:r w:rsidR="00F6063F">
        <w:rPr>
          <w:rFonts w:ascii="Times New Roman" w:hAnsi="Times New Roman" w:cs="Times New Roman"/>
        </w:rPr>
        <w:t xml:space="preserve"> dim</w:t>
      </w:r>
      <w:r>
        <w:rPr>
          <w:rFonts w:ascii="Times New Roman" w:hAnsi="Times New Roman" w:cs="Times New Roman"/>
        </w:rPr>
        <w:t xml:space="preserve"> legal realities for wives in America</w:t>
      </w:r>
      <w:r w:rsidR="00E453DB">
        <w:rPr>
          <w:rFonts w:ascii="Times New Roman" w:hAnsi="Times New Roman" w:cs="Times New Roman"/>
        </w:rPr>
        <w:t>. Spousal exemption was the norm in all states for over nearly 200 y</w:t>
      </w:r>
      <w:r w:rsidR="00F6063F">
        <w:rPr>
          <w:rFonts w:ascii="Times New Roman" w:hAnsi="Times New Roman" w:cs="Times New Roman"/>
        </w:rPr>
        <w:t>ears. It was not until the 1970</w:t>
      </w:r>
      <w:r w:rsidR="00E453DB">
        <w:rPr>
          <w:rFonts w:ascii="Times New Roman" w:hAnsi="Times New Roman" w:cs="Times New Roman"/>
        </w:rPr>
        <w:t>s that efforts to reform rape statutes called attention to the need to reconsider s</w:t>
      </w:r>
      <w:r w:rsidR="00E53268">
        <w:rPr>
          <w:rFonts w:ascii="Times New Roman" w:hAnsi="Times New Roman" w:cs="Times New Roman"/>
        </w:rPr>
        <w:t>pousal exemption (Bourque, 1989</w:t>
      </w:r>
      <w:r w:rsidR="00E453DB">
        <w:rPr>
          <w:rFonts w:ascii="Times New Roman" w:hAnsi="Times New Roman" w:cs="Times New Roman"/>
        </w:rPr>
        <w:t>).</w:t>
      </w:r>
      <w:r w:rsidR="005C0E4E">
        <w:rPr>
          <w:rFonts w:ascii="Times New Roman" w:hAnsi="Times New Roman" w:cs="Times New Roman"/>
        </w:rPr>
        <w:t xml:space="preserve"> </w:t>
      </w:r>
      <w:r w:rsidR="001E6C2D">
        <w:rPr>
          <w:rFonts w:ascii="Times New Roman" w:hAnsi="Times New Roman" w:cs="Times New Roman"/>
        </w:rPr>
        <w:t>In the</w:t>
      </w:r>
      <w:r w:rsidR="005C0E4E">
        <w:rPr>
          <w:rFonts w:ascii="Times New Roman" w:hAnsi="Times New Roman" w:cs="Times New Roman"/>
        </w:rPr>
        <w:t xml:space="preserve"> </w:t>
      </w:r>
      <w:r w:rsidR="007753E8">
        <w:rPr>
          <w:rFonts w:ascii="Times New Roman" w:hAnsi="Times New Roman" w:cs="Times New Roman"/>
          <w:i/>
        </w:rPr>
        <w:t xml:space="preserve">Oregon v. Rideout </w:t>
      </w:r>
      <w:r w:rsidR="00F6063F">
        <w:rPr>
          <w:rFonts w:ascii="Times New Roman" w:hAnsi="Times New Roman" w:cs="Times New Roman"/>
        </w:rPr>
        <w:t>case</w:t>
      </w:r>
      <w:r w:rsidR="001E6C2D">
        <w:rPr>
          <w:rFonts w:ascii="Times New Roman" w:hAnsi="Times New Roman" w:cs="Times New Roman"/>
        </w:rPr>
        <w:t xml:space="preserve"> </w:t>
      </w:r>
      <w:r w:rsidR="00F6063F">
        <w:rPr>
          <w:rFonts w:ascii="Times New Roman" w:hAnsi="Times New Roman" w:cs="Times New Roman"/>
        </w:rPr>
        <w:t>(</w:t>
      </w:r>
      <w:r w:rsidR="001E6C2D">
        <w:rPr>
          <w:rFonts w:ascii="Times New Roman" w:hAnsi="Times New Roman" w:cs="Times New Roman"/>
        </w:rPr>
        <w:t>1978</w:t>
      </w:r>
      <w:r w:rsidR="00F6063F">
        <w:rPr>
          <w:rFonts w:ascii="Times New Roman" w:hAnsi="Times New Roman" w:cs="Times New Roman"/>
        </w:rPr>
        <w:t>)</w:t>
      </w:r>
      <w:r w:rsidR="001E6C2D">
        <w:rPr>
          <w:rFonts w:ascii="Times New Roman" w:hAnsi="Times New Roman" w:cs="Times New Roman"/>
        </w:rPr>
        <w:t xml:space="preserve">, </w:t>
      </w:r>
      <w:r w:rsidR="007753E8">
        <w:rPr>
          <w:rFonts w:ascii="Times New Roman" w:hAnsi="Times New Roman" w:cs="Times New Roman"/>
        </w:rPr>
        <w:t xml:space="preserve">Greta Rideout accused her husband of </w:t>
      </w:r>
      <w:r w:rsidR="00C16AC8">
        <w:rPr>
          <w:rFonts w:ascii="Times New Roman" w:hAnsi="Times New Roman" w:cs="Times New Roman"/>
        </w:rPr>
        <w:t>rape. The trial took only six days</w:t>
      </w:r>
      <w:r w:rsidR="007753E8">
        <w:rPr>
          <w:rFonts w:ascii="Times New Roman" w:hAnsi="Times New Roman" w:cs="Times New Roman"/>
        </w:rPr>
        <w:t xml:space="preserve">. </w:t>
      </w:r>
      <w:r w:rsidR="00C16AC8">
        <w:rPr>
          <w:rFonts w:ascii="Times New Roman" w:hAnsi="Times New Roman" w:cs="Times New Roman"/>
        </w:rPr>
        <w:t>The jury</w:t>
      </w:r>
      <w:r w:rsidR="005C0E4E">
        <w:rPr>
          <w:rFonts w:ascii="Times New Roman" w:hAnsi="Times New Roman" w:cs="Times New Roman"/>
        </w:rPr>
        <w:t xml:space="preserve"> did not </w:t>
      </w:r>
      <w:r w:rsidR="00C16AC8">
        <w:rPr>
          <w:rFonts w:ascii="Times New Roman" w:hAnsi="Times New Roman" w:cs="Times New Roman"/>
        </w:rPr>
        <w:t>feel that the prosecution had met the reasonable doubt standard</w:t>
      </w:r>
      <w:r w:rsidR="005C0E4E">
        <w:rPr>
          <w:rFonts w:ascii="Times New Roman" w:hAnsi="Times New Roman" w:cs="Times New Roman"/>
        </w:rPr>
        <w:t>, but the case did bring the issue onto a national stage</w:t>
      </w:r>
      <w:r w:rsidR="0034441C">
        <w:rPr>
          <w:rFonts w:ascii="Times New Roman" w:hAnsi="Times New Roman" w:cs="Times New Roman"/>
        </w:rPr>
        <w:t xml:space="preserve"> (</w:t>
      </w:r>
      <w:proofErr w:type="spellStart"/>
      <w:r w:rsidR="0034441C">
        <w:rPr>
          <w:rFonts w:ascii="Times New Roman" w:hAnsi="Times New Roman" w:cs="Times New Roman"/>
        </w:rPr>
        <w:t>Bary</w:t>
      </w:r>
      <w:proofErr w:type="spellEnd"/>
      <w:r w:rsidR="0034441C">
        <w:rPr>
          <w:rFonts w:ascii="Times New Roman" w:hAnsi="Times New Roman" w:cs="Times New Roman"/>
        </w:rPr>
        <w:t>, 1980</w:t>
      </w:r>
      <w:r w:rsidR="00F82F57">
        <w:rPr>
          <w:rFonts w:ascii="Times New Roman" w:hAnsi="Times New Roman" w:cs="Times New Roman"/>
        </w:rPr>
        <w:t>)</w:t>
      </w:r>
      <w:r w:rsidR="005C0E4E">
        <w:rPr>
          <w:rFonts w:ascii="Times New Roman" w:hAnsi="Times New Roman" w:cs="Times New Roman"/>
        </w:rPr>
        <w:t>.</w:t>
      </w:r>
    </w:p>
    <w:p w14:paraId="1ECAC566" w14:textId="77EAABC7" w:rsidR="008752FA" w:rsidRDefault="005C0E4E" w:rsidP="007753E8">
      <w:pPr>
        <w:spacing w:line="480" w:lineRule="auto"/>
        <w:ind w:firstLine="720"/>
        <w:rPr>
          <w:rFonts w:ascii="Times New Roman" w:hAnsi="Times New Roman" w:cs="Times New Roman"/>
        </w:rPr>
      </w:pPr>
      <w:r>
        <w:rPr>
          <w:rFonts w:ascii="Times New Roman" w:hAnsi="Times New Roman" w:cs="Times New Roman"/>
        </w:rPr>
        <w:t xml:space="preserve"> </w:t>
      </w:r>
      <w:r w:rsidR="00C16AC8">
        <w:rPr>
          <w:rFonts w:ascii="Times New Roman" w:hAnsi="Times New Roman" w:cs="Times New Roman"/>
        </w:rPr>
        <w:t xml:space="preserve">The case was mentioned in the </w:t>
      </w:r>
      <w:r w:rsidR="00C16AC8" w:rsidRPr="00C16AC8">
        <w:rPr>
          <w:rFonts w:ascii="Times New Roman" w:hAnsi="Times New Roman" w:cs="Times New Roman"/>
          <w:i/>
        </w:rPr>
        <w:t>New York Times</w:t>
      </w:r>
      <w:r w:rsidR="00C16AC8">
        <w:rPr>
          <w:rFonts w:ascii="Times New Roman" w:hAnsi="Times New Roman" w:cs="Times New Roman"/>
        </w:rPr>
        <w:t xml:space="preserve"> and The </w:t>
      </w:r>
      <w:r w:rsidR="00C16AC8" w:rsidRPr="00C16AC8">
        <w:rPr>
          <w:rFonts w:ascii="Times New Roman" w:hAnsi="Times New Roman" w:cs="Times New Roman"/>
          <w:i/>
        </w:rPr>
        <w:t>CBS Evening News</w:t>
      </w:r>
      <w:r w:rsidR="00C16AC8">
        <w:rPr>
          <w:rFonts w:ascii="Times New Roman" w:hAnsi="Times New Roman" w:cs="Times New Roman"/>
        </w:rPr>
        <w:t>. Many people discussed the defense</w:t>
      </w:r>
      <w:r w:rsidR="007815FD">
        <w:rPr>
          <w:rFonts w:ascii="Times New Roman" w:hAnsi="Times New Roman" w:cs="Times New Roman"/>
        </w:rPr>
        <w:t>’s claim that John Rideout felt he had a common law right to his wife (</w:t>
      </w:r>
      <w:proofErr w:type="spellStart"/>
      <w:r w:rsidR="007815FD">
        <w:rPr>
          <w:rFonts w:ascii="Times New Roman" w:hAnsi="Times New Roman" w:cs="Times New Roman"/>
        </w:rPr>
        <w:t>Bary</w:t>
      </w:r>
      <w:proofErr w:type="spellEnd"/>
      <w:r w:rsidR="007815FD">
        <w:rPr>
          <w:rFonts w:ascii="Times New Roman" w:hAnsi="Times New Roman" w:cs="Times New Roman"/>
        </w:rPr>
        <w:t xml:space="preserve">, 1980). Greta </w:t>
      </w:r>
      <w:proofErr w:type="spellStart"/>
      <w:r w:rsidR="007815FD">
        <w:rPr>
          <w:rFonts w:ascii="Times New Roman" w:hAnsi="Times New Roman" w:cs="Times New Roman"/>
        </w:rPr>
        <w:t>Rideout’s</w:t>
      </w:r>
      <w:proofErr w:type="spellEnd"/>
      <w:r w:rsidR="007815FD">
        <w:rPr>
          <w:rFonts w:ascii="Times New Roman" w:hAnsi="Times New Roman" w:cs="Times New Roman"/>
        </w:rPr>
        <w:t xml:space="preserve"> sexual history also became a topic of conversation in national media coverage in an effort to rationalize what she did to cause </w:t>
      </w:r>
      <w:r w:rsidR="007815FD">
        <w:rPr>
          <w:rFonts w:ascii="Times New Roman" w:hAnsi="Times New Roman" w:cs="Times New Roman"/>
        </w:rPr>
        <w:lastRenderedPageBreak/>
        <w:t>sexual aggression from her husband (</w:t>
      </w:r>
      <w:proofErr w:type="spellStart"/>
      <w:r w:rsidR="007815FD">
        <w:rPr>
          <w:rFonts w:ascii="Times New Roman" w:hAnsi="Times New Roman" w:cs="Times New Roman"/>
        </w:rPr>
        <w:t>Bary</w:t>
      </w:r>
      <w:proofErr w:type="spellEnd"/>
      <w:r w:rsidR="007815FD">
        <w:rPr>
          <w:rFonts w:ascii="Times New Roman" w:hAnsi="Times New Roman" w:cs="Times New Roman"/>
        </w:rPr>
        <w:t xml:space="preserve">, 1980). This case, and the brutal media coverage that followed, forced many states to address the issue of spousal rape.  </w:t>
      </w:r>
    </w:p>
    <w:p w14:paraId="0FECB8CC" w14:textId="1A44D997" w:rsidR="00227A2C" w:rsidRDefault="00227A2C" w:rsidP="00FB78AE">
      <w:pPr>
        <w:spacing w:line="480" w:lineRule="auto"/>
        <w:ind w:firstLine="720"/>
        <w:rPr>
          <w:rFonts w:ascii="Times New Roman" w:hAnsi="Times New Roman" w:cs="Times New Roman"/>
        </w:rPr>
      </w:pPr>
      <w:r>
        <w:rPr>
          <w:rFonts w:ascii="Times New Roman" w:hAnsi="Times New Roman" w:cs="Times New Roman"/>
        </w:rPr>
        <w:t>Some states responded</w:t>
      </w:r>
      <w:r w:rsidR="00F6063F">
        <w:rPr>
          <w:rFonts w:ascii="Times New Roman" w:hAnsi="Times New Roman" w:cs="Times New Roman"/>
        </w:rPr>
        <w:t xml:space="preserve"> </w:t>
      </w:r>
      <w:r w:rsidR="0078035D">
        <w:rPr>
          <w:rFonts w:ascii="Times New Roman" w:hAnsi="Times New Roman" w:cs="Times New Roman"/>
        </w:rPr>
        <w:t xml:space="preserve">to the national debate brought on by the </w:t>
      </w:r>
      <w:r w:rsidR="007753E8">
        <w:rPr>
          <w:rFonts w:ascii="Times New Roman" w:hAnsi="Times New Roman" w:cs="Times New Roman"/>
          <w:i/>
        </w:rPr>
        <w:t>Oregon v. Rideout</w:t>
      </w:r>
      <w:r w:rsidR="0078035D">
        <w:rPr>
          <w:rFonts w:ascii="Times New Roman" w:hAnsi="Times New Roman" w:cs="Times New Roman"/>
          <w:i/>
        </w:rPr>
        <w:t xml:space="preserve"> </w:t>
      </w:r>
      <w:r w:rsidR="0078035D">
        <w:rPr>
          <w:rFonts w:ascii="Times New Roman" w:hAnsi="Times New Roman" w:cs="Times New Roman"/>
        </w:rPr>
        <w:t xml:space="preserve">ruling </w:t>
      </w:r>
      <w:r w:rsidR="00F6063F">
        <w:rPr>
          <w:rFonts w:ascii="Times New Roman" w:hAnsi="Times New Roman" w:cs="Times New Roman"/>
        </w:rPr>
        <w:t>by amending their statutes</w:t>
      </w:r>
      <w:r w:rsidR="00507DE1">
        <w:rPr>
          <w:rFonts w:ascii="Times New Roman" w:hAnsi="Times New Roman" w:cs="Times New Roman"/>
        </w:rPr>
        <w:t>. Many limited these changes</w:t>
      </w:r>
      <w:r w:rsidR="00F6063F">
        <w:rPr>
          <w:rFonts w:ascii="Times New Roman" w:hAnsi="Times New Roman" w:cs="Times New Roman"/>
        </w:rPr>
        <w:t xml:space="preserve"> to </w:t>
      </w:r>
      <w:r w:rsidR="00507DE1">
        <w:rPr>
          <w:rFonts w:ascii="Times New Roman" w:hAnsi="Times New Roman" w:cs="Times New Roman"/>
        </w:rPr>
        <w:t xml:space="preserve">only </w:t>
      </w:r>
      <w:r w:rsidR="00F6063F">
        <w:rPr>
          <w:rFonts w:ascii="Times New Roman" w:hAnsi="Times New Roman" w:cs="Times New Roman"/>
        </w:rPr>
        <w:t>stipulate</w:t>
      </w:r>
      <w:r>
        <w:rPr>
          <w:rFonts w:ascii="Times New Roman" w:hAnsi="Times New Roman" w:cs="Times New Roman"/>
        </w:rPr>
        <w:t xml:space="preserve"> that the spousal exemption did not apply if the woman had legally withdrawn consent through separation, but </w:t>
      </w:r>
      <w:r w:rsidR="007815FD">
        <w:rPr>
          <w:rFonts w:ascii="Times New Roman" w:hAnsi="Times New Roman" w:cs="Times New Roman"/>
        </w:rPr>
        <w:t xml:space="preserve">some states </w:t>
      </w:r>
      <w:r w:rsidR="00F6063F">
        <w:rPr>
          <w:rFonts w:ascii="Times New Roman" w:hAnsi="Times New Roman" w:cs="Times New Roman"/>
        </w:rPr>
        <w:t xml:space="preserve">amended statutes to </w:t>
      </w:r>
      <w:r w:rsidR="0078035D">
        <w:rPr>
          <w:rFonts w:ascii="Times New Roman" w:hAnsi="Times New Roman" w:cs="Times New Roman"/>
        </w:rPr>
        <w:t>explicitly say</w:t>
      </w:r>
      <w:r>
        <w:rPr>
          <w:rFonts w:ascii="Times New Roman" w:hAnsi="Times New Roman" w:cs="Times New Roman"/>
        </w:rPr>
        <w:t xml:space="preserve"> that a husband could be a </w:t>
      </w:r>
      <w:r w:rsidR="00507DE1">
        <w:rPr>
          <w:rFonts w:ascii="Times New Roman" w:hAnsi="Times New Roman" w:cs="Times New Roman"/>
        </w:rPr>
        <w:t xml:space="preserve">charged for raping his wife </w:t>
      </w:r>
      <w:r>
        <w:rPr>
          <w:rFonts w:ascii="Times New Roman" w:hAnsi="Times New Roman" w:cs="Times New Roman"/>
        </w:rPr>
        <w:t>(</w:t>
      </w:r>
      <w:proofErr w:type="spellStart"/>
      <w:r w:rsidR="0034441C">
        <w:rPr>
          <w:rFonts w:ascii="Times New Roman" w:hAnsi="Times New Roman" w:cs="Times New Roman"/>
        </w:rPr>
        <w:t>Bary</w:t>
      </w:r>
      <w:proofErr w:type="spellEnd"/>
      <w:r w:rsidR="0034441C">
        <w:rPr>
          <w:rFonts w:ascii="Times New Roman" w:hAnsi="Times New Roman" w:cs="Times New Roman"/>
        </w:rPr>
        <w:t>, 1980</w:t>
      </w:r>
      <w:r>
        <w:rPr>
          <w:rFonts w:ascii="Times New Roman" w:hAnsi="Times New Roman" w:cs="Times New Roman"/>
        </w:rPr>
        <w:t xml:space="preserve">). </w:t>
      </w:r>
    </w:p>
    <w:p w14:paraId="277BA788" w14:textId="0CD7FC42" w:rsidR="00FB78AE" w:rsidRDefault="00227A2C" w:rsidP="00FB78AE">
      <w:pPr>
        <w:spacing w:line="480" w:lineRule="auto"/>
        <w:ind w:firstLine="720"/>
        <w:rPr>
          <w:rFonts w:ascii="Times New Roman" w:hAnsi="Times New Roman" w:cs="Times New Roman"/>
        </w:rPr>
      </w:pPr>
      <w:r>
        <w:rPr>
          <w:rFonts w:ascii="Times New Roman" w:hAnsi="Times New Roman" w:cs="Times New Roman"/>
        </w:rPr>
        <w:t xml:space="preserve">As more states began reforming their rape statutes, the issue became increasingly controversial. </w:t>
      </w:r>
      <w:r w:rsidR="007815FD">
        <w:rPr>
          <w:rFonts w:ascii="Times New Roman" w:hAnsi="Times New Roman" w:cs="Times New Roman"/>
        </w:rPr>
        <w:t>Some states</w:t>
      </w:r>
      <w:r>
        <w:rPr>
          <w:rFonts w:ascii="Times New Roman" w:hAnsi="Times New Roman" w:cs="Times New Roman"/>
        </w:rPr>
        <w:t xml:space="preserve"> completely repealed their sp</w:t>
      </w:r>
      <w:r w:rsidR="007815FD">
        <w:rPr>
          <w:rFonts w:ascii="Times New Roman" w:hAnsi="Times New Roman" w:cs="Times New Roman"/>
        </w:rPr>
        <w:t>ousal exemption legislation, while states such as</w:t>
      </w:r>
      <w:r>
        <w:rPr>
          <w:rFonts w:ascii="Times New Roman" w:hAnsi="Times New Roman" w:cs="Times New Roman"/>
        </w:rPr>
        <w:t xml:space="preserve"> Iowa and California followed with</w:t>
      </w:r>
      <w:r w:rsidR="005B11C4">
        <w:rPr>
          <w:rFonts w:ascii="Times New Roman" w:hAnsi="Times New Roman" w:cs="Times New Roman"/>
        </w:rPr>
        <w:t xml:space="preserve"> individual</w:t>
      </w:r>
      <w:r>
        <w:rPr>
          <w:rFonts w:ascii="Times New Roman" w:hAnsi="Times New Roman" w:cs="Times New Roman"/>
        </w:rPr>
        <w:t xml:space="preserve"> reforms. The president of the Oregon Trial Lawyers Association and head of the Oregon State Bar, Charles Burt</w:t>
      </w:r>
      <w:r w:rsidR="00F6063F">
        <w:rPr>
          <w:rFonts w:ascii="Times New Roman" w:hAnsi="Times New Roman" w:cs="Times New Roman"/>
        </w:rPr>
        <w:t>,</w:t>
      </w:r>
      <w:r>
        <w:rPr>
          <w:rFonts w:ascii="Times New Roman" w:hAnsi="Times New Roman" w:cs="Times New Roman"/>
        </w:rPr>
        <w:t xml:space="preserve"> openly commented on “the absurdity of bringing the crime of rape as a law into marriage</w:t>
      </w:r>
      <w:r w:rsidR="005340C4">
        <w:rPr>
          <w:rFonts w:ascii="Times New Roman" w:hAnsi="Times New Roman" w:cs="Times New Roman"/>
        </w:rPr>
        <w:t>,”</w:t>
      </w:r>
      <w:r>
        <w:rPr>
          <w:rFonts w:ascii="Times New Roman" w:hAnsi="Times New Roman" w:cs="Times New Roman"/>
        </w:rPr>
        <w:t xml:space="preserve"> saying, “a woman who’s still in a marriage is presumably consenting </w:t>
      </w:r>
      <w:r w:rsidR="008752FA">
        <w:rPr>
          <w:rFonts w:ascii="Times New Roman" w:hAnsi="Times New Roman" w:cs="Times New Roman"/>
        </w:rPr>
        <w:t>to sex…</w:t>
      </w:r>
      <w:proofErr w:type="gramStart"/>
      <w:r w:rsidR="008752FA">
        <w:rPr>
          <w:rFonts w:ascii="Times New Roman" w:hAnsi="Times New Roman" w:cs="Times New Roman"/>
        </w:rPr>
        <w:t>Maybe</w:t>
      </w:r>
      <w:proofErr w:type="gramEnd"/>
      <w:r w:rsidR="008752FA">
        <w:rPr>
          <w:rFonts w:ascii="Times New Roman" w:hAnsi="Times New Roman" w:cs="Times New Roman"/>
        </w:rPr>
        <w:t xml:space="preserve"> this is the risk of being married” (</w:t>
      </w:r>
      <w:proofErr w:type="spellStart"/>
      <w:r w:rsidR="0034441C">
        <w:rPr>
          <w:rFonts w:ascii="Times New Roman" w:hAnsi="Times New Roman" w:cs="Times New Roman"/>
        </w:rPr>
        <w:t>Bary</w:t>
      </w:r>
      <w:proofErr w:type="spellEnd"/>
      <w:r w:rsidR="0034441C">
        <w:rPr>
          <w:rFonts w:ascii="Times New Roman" w:hAnsi="Times New Roman" w:cs="Times New Roman"/>
        </w:rPr>
        <w:t>, 1980, p.1089</w:t>
      </w:r>
      <w:r w:rsidR="008752FA">
        <w:rPr>
          <w:rFonts w:ascii="Times New Roman" w:hAnsi="Times New Roman" w:cs="Times New Roman"/>
        </w:rPr>
        <w:t xml:space="preserve">). </w:t>
      </w:r>
      <w:r w:rsidR="00F82F57">
        <w:rPr>
          <w:rFonts w:ascii="Times New Roman" w:hAnsi="Times New Roman" w:cs="Times New Roman"/>
        </w:rPr>
        <w:t>Other opponents of the reforms were concerned that eliminating spousal privilege gave “bitter women” too much accusatory power (</w:t>
      </w:r>
      <w:proofErr w:type="spellStart"/>
      <w:r w:rsidR="00F82F57">
        <w:rPr>
          <w:rFonts w:ascii="Times New Roman" w:hAnsi="Times New Roman" w:cs="Times New Roman"/>
        </w:rPr>
        <w:t>Bary</w:t>
      </w:r>
      <w:proofErr w:type="spellEnd"/>
      <w:r w:rsidR="00F82F57">
        <w:rPr>
          <w:rFonts w:ascii="Times New Roman" w:hAnsi="Times New Roman" w:cs="Times New Roman"/>
        </w:rPr>
        <w:t>, 1980, p</w:t>
      </w:r>
      <w:r w:rsidR="0034441C">
        <w:rPr>
          <w:rFonts w:ascii="Times New Roman" w:hAnsi="Times New Roman" w:cs="Times New Roman"/>
        </w:rPr>
        <w:t>. 1090</w:t>
      </w:r>
      <w:r w:rsidR="00F82F57">
        <w:rPr>
          <w:rFonts w:ascii="Times New Roman" w:hAnsi="Times New Roman" w:cs="Times New Roman"/>
        </w:rPr>
        <w:t xml:space="preserve">). </w:t>
      </w:r>
    </w:p>
    <w:p w14:paraId="3F321E1F" w14:textId="00910937" w:rsidR="00F82F57" w:rsidRDefault="00F82F57" w:rsidP="00FB78AE">
      <w:pPr>
        <w:spacing w:line="480" w:lineRule="auto"/>
        <w:ind w:firstLine="720"/>
        <w:rPr>
          <w:rFonts w:ascii="Times New Roman" w:hAnsi="Times New Roman" w:cs="Times New Roman"/>
        </w:rPr>
      </w:pPr>
      <w:r>
        <w:rPr>
          <w:rFonts w:ascii="Times New Roman" w:hAnsi="Times New Roman" w:cs="Times New Roman"/>
        </w:rPr>
        <w:t>It took until 1993 for every state to outlaw marital rape</w:t>
      </w:r>
      <w:r w:rsidR="00C26D1D">
        <w:rPr>
          <w:rFonts w:ascii="Times New Roman" w:hAnsi="Times New Roman" w:cs="Times New Roman"/>
        </w:rPr>
        <w:t xml:space="preserve"> by removing spousal exemption entirely, eliminating marriage as a defense, or specifying marital rape as a new offense (RAINN, 2009). </w:t>
      </w:r>
      <w:r w:rsidR="00F6063F">
        <w:rPr>
          <w:rFonts w:ascii="Times New Roman" w:hAnsi="Times New Roman" w:cs="Times New Roman"/>
        </w:rPr>
        <w:t>However, even now, each state</w:t>
      </w:r>
      <w:r w:rsidR="00C26D1D">
        <w:rPr>
          <w:rFonts w:ascii="Times New Roman" w:hAnsi="Times New Roman" w:cs="Times New Roman"/>
        </w:rPr>
        <w:t xml:space="preserve"> has unique limitations </w:t>
      </w:r>
      <w:r w:rsidR="00F6063F">
        <w:rPr>
          <w:rFonts w:ascii="Times New Roman" w:hAnsi="Times New Roman" w:cs="Times New Roman"/>
        </w:rPr>
        <w:t>for what</w:t>
      </w:r>
      <w:r w:rsidR="00C26D1D">
        <w:rPr>
          <w:rFonts w:ascii="Times New Roman" w:hAnsi="Times New Roman" w:cs="Times New Roman"/>
        </w:rPr>
        <w:t xml:space="preserve"> act</w:t>
      </w:r>
      <w:r w:rsidR="00F6063F">
        <w:rPr>
          <w:rFonts w:ascii="Times New Roman" w:hAnsi="Times New Roman" w:cs="Times New Roman"/>
        </w:rPr>
        <w:t>s</w:t>
      </w:r>
      <w:r w:rsidR="00C26D1D">
        <w:rPr>
          <w:rFonts w:ascii="Times New Roman" w:hAnsi="Times New Roman" w:cs="Times New Roman"/>
        </w:rPr>
        <w:t xml:space="preserve"> can be considered marital rape. For example, </w:t>
      </w:r>
      <w:r w:rsidR="00F6063F">
        <w:rPr>
          <w:rFonts w:ascii="Times New Roman" w:hAnsi="Times New Roman" w:cs="Times New Roman"/>
        </w:rPr>
        <w:t>eleven</w:t>
      </w:r>
      <w:r w:rsidR="00C26D1D">
        <w:rPr>
          <w:rFonts w:ascii="Times New Roman" w:hAnsi="Times New Roman" w:cs="Times New Roman"/>
        </w:rPr>
        <w:t xml:space="preserve"> states require that there must have been the threat of force</w:t>
      </w:r>
      <w:r w:rsidR="00F6063F">
        <w:rPr>
          <w:rFonts w:ascii="Times New Roman" w:hAnsi="Times New Roman" w:cs="Times New Roman"/>
        </w:rPr>
        <w:t xml:space="preserve"> or actual force</w:t>
      </w:r>
      <w:r w:rsidR="00C26D1D">
        <w:rPr>
          <w:rFonts w:ascii="Times New Roman" w:hAnsi="Times New Roman" w:cs="Times New Roman"/>
        </w:rPr>
        <w:t xml:space="preserve"> </w:t>
      </w:r>
      <w:r w:rsidR="00F6063F">
        <w:rPr>
          <w:rFonts w:ascii="Times New Roman" w:hAnsi="Times New Roman" w:cs="Times New Roman"/>
        </w:rPr>
        <w:t xml:space="preserve">used </w:t>
      </w:r>
      <w:r w:rsidR="00C26D1D">
        <w:rPr>
          <w:rFonts w:ascii="Times New Roman" w:hAnsi="Times New Roman" w:cs="Times New Roman"/>
        </w:rPr>
        <w:t>in order for a husband to be convicted of rape (</w:t>
      </w:r>
      <w:r w:rsidR="0098184D">
        <w:rPr>
          <w:rFonts w:ascii="Times New Roman" w:hAnsi="Times New Roman" w:cs="Times New Roman"/>
        </w:rPr>
        <w:t>How</w:t>
      </w:r>
      <w:r w:rsidR="00C26D1D">
        <w:rPr>
          <w:rFonts w:ascii="Times New Roman" w:hAnsi="Times New Roman" w:cs="Times New Roman"/>
        </w:rPr>
        <w:t>, 2003</w:t>
      </w:r>
      <w:r w:rsidR="00E53268">
        <w:rPr>
          <w:rFonts w:ascii="Times New Roman" w:hAnsi="Times New Roman" w:cs="Times New Roman"/>
        </w:rPr>
        <w:t>, p 1-5</w:t>
      </w:r>
      <w:r w:rsidR="00C26D1D">
        <w:rPr>
          <w:rFonts w:ascii="Times New Roman" w:hAnsi="Times New Roman" w:cs="Times New Roman"/>
        </w:rPr>
        <w:t xml:space="preserve">).  South Carolina and Illinois both specify that the complaint must be filed within 30 days of the attack, and California requires that it must be filed </w:t>
      </w:r>
      <w:r w:rsidR="00C26D1D">
        <w:rPr>
          <w:rFonts w:ascii="Times New Roman" w:hAnsi="Times New Roman" w:cs="Times New Roman"/>
        </w:rPr>
        <w:lastRenderedPageBreak/>
        <w:t xml:space="preserve">within </w:t>
      </w:r>
      <w:r w:rsidR="003948A2">
        <w:rPr>
          <w:rFonts w:ascii="Times New Roman" w:hAnsi="Times New Roman" w:cs="Times New Roman"/>
        </w:rPr>
        <w:t>a</w:t>
      </w:r>
      <w:r w:rsidR="00C26D1D">
        <w:rPr>
          <w:rFonts w:ascii="Times New Roman" w:hAnsi="Times New Roman" w:cs="Times New Roman"/>
        </w:rPr>
        <w:t xml:space="preserve"> year (</w:t>
      </w:r>
      <w:r w:rsidR="0098184D">
        <w:rPr>
          <w:rFonts w:ascii="Times New Roman" w:hAnsi="Times New Roman" w:cs="Times New Roman"/>
        </w:rPr>
        <w:t>How</w:t>
      </w:r>
      <w:r w:rsidR="00C26D1D">
        <w:rPr>
          <w:rFonts w:ascii="Times New Roman" w:hAnsi="Times New Roman" w:cs="Times New Roman"/>
        </w:rPr>
        <w:t xml:space="preserve">, 2003, p. 1-5). Six states require that the couple </w:t>
      </w:r>
      <w:r w:rsidR="00B469D3">
        <w:rPr>
          <w:rFonts w:ascii="Times New Roman" w:hAnsi="Times New Roman" w:cs="Times New Roman"/>
        </w:rPr>
        <w:t>have separate living situations, be in the process of getting divorced, or have a court ordered separation in order for the husband to be convicted of marital rape (</w:t>
      </w:r>
      <w:r w:rsidR="0098184D">
        <w:rPr>
          <w:rFonts w:ascii="Times New Roman" w:hAnsi="Times New Roman" w:cs="Times New Roman"/>
        </w:rPr>
        <w:t>How</w:t>
      </w:r>
      <w:r w:rsidR="00B469D3">
        <w:rPr>
          <w:rFonts w:ascii="Times New Roman" w:hAnsi="Times New Roman" w:cs="Times New Roman"/>
        </w:rPr>
        <w:t xml:space="preserve">, 2003, p. 1-5). </w:t>
      </w:r>
    </w:p>
    <w:p w14:paraId="2E4B3103" w14:textId="223FEB77" w:rsidR="005B50DC" w:rsidRDefault="00B469D3" w:rsidP="003948A2">
      <w:pPr>
        <w:spacing w:line="480" w:lineRule="auto"/>
        <w:ind w:firstLine="720"/>
        <w:rPr>
          <w:rFonts w:ascii="Times New Roman" w:hAnsi="Times New Roman" w:cs="Times New Roman"/>
        </w:rPr>
      </w:pPr>
      <w:r>
        <w:rPr>
          <w:rFonts w:ascii="Times New Roman" w:hAnsi="Times New Roman" w:cs="Times New Roman"/>
        </w:rPr>
        <w:t xml:space="preserve">The ongoing struggle for gender equality has been marked with legal victories and disappointments. Women have advanced beyond the restricted sphere of influence </w:t>
      </w:r>
      <w:r w:rsidR="000119F4">
        <w:rPr>
          <w:rFonts w:ascii="Times New Roman" w:hAnsi="Times New Roman" w:cs="Times New Roman"/>
        </w:rPr>
        <w:t>to which they were once bound, overcoming societal conventions, educational and employment limitations, and centuries of legal precedent. Despite the immense changes in women’s rights in American history, there are clearly s</w:t>
      </w:r>
      <w:r w:rsidR="003948A2">
        <w:rPr>
          <w:rFonts w:ascii="Times New Roman" w:hAnsi="Times New Roman" w:cs="Times New Roman"/>
        </w:rPr>
        <w:t>ome remnants of coverture in society today. Ideally, this</w:t>
      </w:r>
      <w:r w:rsidR="000119F4">
        <w:rPr>
          <w:rFonts w:ascii="Times New Roman" w:hAnsi="Times New Roman" w:cs="Times New Roman"/>
        </w:rPr>
        <w:t xml:space="preserve"> examination of the overall progression of women will call attention to the areas </w:t>
      </w:r>
      <w:r w:rsidR="003948A2">
        <w:rPr>
          <w:rFonts w:ascii="Times New Roman" w:hAnsi="Times New Roman" w:cs="Times New Roman"/>
        </w:rPr>
        <w:t>i</w:t>
      </w:r>
      <w:r w:rsidR="00EC4F80">
        <w:rPr>
          <w:rFonts w:ascii="Times New Roman" w:hAnsi="Times New Roman" w:cs="Times New Roman"/>
        </w:rPr>
        <w:t>n which we can still hope to improve</w:t>
      </w:r>
      <w:r w:rsidR="000119F4">
        <w:rPr>
          <w:rFonts w:ascii="Times New Roman" w:hAnsi="Times New Roman" w:cs="Times New Roman"/>
        </w:rPr>
        <w:t xml:space="preserve">. </w:t>
      </w:r>
      <w:r w:rsidR="005B50DC">
        <w:rPr>
          <w:rFonts w:ascii="Times New Roman" w:hAnsi="Times New Roman" w:cs="Times New Roman"/>
        </w:rPr>
        <w:br w:type="page"/>
      </w:r>
    </w:p>
    <w:p w14:paraId="40B8F377" w14:textId="51CBC4EB" w:rsidR="00B469D3" w:rsidRPr="0034441C" w:rsidRDefault="005B50DC" w:rsidP="005B50DC">
      <w:pPr>
        <w:spacing w:line="480" w:lineRule="auto"/>
        <w:ind w:firstLine="720"/>
        <w:jc w:val="center"/>
        <w:rPr>
          <w:rFonts w:ascii="Times New Roman" w:hAnsi="Times New Roman" w:cs="Times New Roman"/>
        </w:rPr>
      </w:pPr>
      <w:r w:rsidRPr="0034441C">
        <w:rPr>
          <w:rFonts w:ascii="Times New Roman" w:hAnsi="Times New Roman" w:cs="Times New Roman"/>
        </w:rPr>
        <w:lastRenderedPageBreak/>
        <w:t>References</w:t>
      </w:r>
    </w:p>
    <w:p w14:paraId="19CF855E" w14:textId="77777777" w:rsidR="0034441C" w:rsidRDefault="0034441C" w:rsidP="005B50DC">
      <w:pPr>
        <w:rPr>
          <w:rFonts w:ascii="Times New Roman" w:hAnsi="Times New Roman" w:cs="Times New Roman"/>
        </w:rPr>
      </w:pPr>
    </w:p>
    <w:p w14:paraId="54BA75CC" w14:textId="0525506D" w:rsidR="00947FB6" w:rsidRDefault="00947FB6" w:rsidP="00BF2227">
      <w:pPr>
        <w:spacing w:line="480" w:lineRule="auto"/>
        <w:rPr>
          <w:rFonts w:ascii="Times New Roman" w:eastAsia="Times New Roman" w:hAnsi="Times New Roman" w:cs="Times New Roman"/>
          <w:i/>
          <w:iCs/>
          <w:color w:val="333333"/>
          <w:shd w:val="clear" w:color="auto" w:fill="FFFFFF"/>
        </w:rPr>
      </w:pPr>
      <w:r w:rsidRPr="00947FB6">
        <w:rPr>
          <w:rFonts w:ascii="Times New Roman" w:eastAsia="Times New Roman" w:hAnsi="Times New Roman" w:cs="Times New Roman"/>
          <w:color w:val="333333"/>
          <w:shd w:val="clear" w:color="auto" w:fill="FFFFFF"/>
        </w:rPr>
        <w:t>Anderson, K. (1981). </w:t>
      </w:r>
      <w:r w:rsidR="00BF2227">
        <w:rPr>
          <w:rFonts w:ascii="Times New Roman" w:eastAsia="Times New Roman" w:hAnsi="Times New Roman" w:cs="Times New Roman"/>
          <w:i/>
          <w:iCs/>
          <w:color w:val="333333"/>
          <w:shd w:val="clear" w:color="auto" w:fill="FFFFFF"/>
        </w:rPr>
        <w:t>Wartime women: Sex Roles, Family Relations, and the S</w:t>
      </w:r>
      <w:r w:rsidRPr="00947FB6">
        <w:rPr>
          <w:rFonts w:ascii="Times New Roman" w:eastAsia="Times New Roman" w:hAnsi="Times New Roman" w:cs="Times New Roman"/>
          <w:i/>
          <w:iCs/>
          <w:color w:val="333333"/>
          <w:shd w:val="clear" w:color="auto" w:fill="FFFFFF"/>
        </w:rPr>
        <w:t xml:space="preserve">tatus of </w:t>
      </w:r>
    </w:p>
    <w:p w14:paraId="493E319C" w14:textId="10669025" w:rsidR="004500B2" w:rsidRPr="00947FB6" w:rsidRDefault="00947FB6" w:rsidP="00BF2227">
      <w:pPr>
        <w:spacing w:line="480" w:lineRule="auto"/>
        <w:rPr>
          <w:rFonts w:ascii="Times New Roman" w:eastAsia="Times New Roman" w:hAnsi="Times New Roman" w:cs="Times New Roman"/>
        </w:rPr>
      </w:pPr>
      <w:r>
        <w:rPr>
          <w:rFonts w:ascii="Times New Roman" w:eastAsia="Times New Roman" w:hAnsi="Times New Roman" w:cs="Times New Roman"/>
          <w:i/>
          <w:iCs/>
          <w:color w:val="333333"/>
          <w:shd w:val="clear" w:color="auto" w:fill="FFFFFF"/>
        </w:rPr>
        <w:tab/>
      </w:r>
      <w:proofErr w:type="gramStart"/>
      <w:r w:rsidR="00BF2227">
        <w:rPr>
          <w:rFonts w:ascii="Times New Roman" w:eastAsia="Times New Roman" w:hAnsi="Times New Roman" w:cs="Times New Roman"/>
          <w:i/>
          <w:iCs/>
          <w:color w:val="333333"/>
          <w:shd w:val="clear" w:color="auto" w:fill="FFFFFF"/>
        </w:rPr>
        <w:t>Women d</w:t>
      </w:r>
      <w:r w:rsidRPr="00947FB6">
        <w:rPr>
          <w:rFonts w:ascii="Times New Roman" w:eastAsia="Times New Roman" w:hAnsi="Times New Roman" w:cs="Times New Roman"/>
          <w:i/>
          <w:iCs/>
          <w:color w:val="333333"/>
          <w:shd w:val="clear" w:color="auto" w:fill="FFFFFF"/>
        </w:rPr>
        <w:t>uring World War II</w:t>
      </w:r>
      <w:r w:rsidRPr="00947FB6">
        <w:rPr>
          <w:rFonts w:ascii="Times New Roman" w:eastAsia="Times New Roman" w:hAnsi="Times New Roman" w:cs="Times New Roman"/>
          <w:color w:val="333333"/>
          <w:shd w:val="clear" w:color="auto" w:fill="FFFFFF"/>
        </w:rPr>
        <w:t>.</w:t>
      </w:r>
      <w:proofErr w:type="gramEnd"/>
      <w:r w:rsidRPr="00947FB6">
        <w:rPr>
          <w:rFonts w:ascii="Times New Roman" w:eastAsia="Times New Roman" w:hAnsi="Times New Roman" w:cs="Times New Roman"/>
          <w:color w:val="333333"/>
          <w:shd w:val="clear" w:color="auto" w:fill="FFFFFF"/>
        </w:rPr>
        <w:t xml:space="preserve"> Westport, CT: Greenwood Press.</w:t>
      </w:r>
    </w:p>
    <w:p w14:paraId="49231E1D" w14:textId="77777777" w:rsidR="00947FB6" w:rsidRDefault="004500B2" w:rsidP="00BF2227">
      <w:pPr>
        <w:spacing w:line="480" w:lineRule="auto"/>
        <w:rPr>
          <w:rFonts w:ascii="Times New Roman" w:hAnsi="Times New Roman" w:cs="Times New Roman"/>
        </w:rPr>
      </w:pPr>
      <w:r>
        <w:rPr>
          <w:rFonts w:ascii="Times New Roman" w:hAnsi="Times New Roman" w:cs="Times New Roman"/>
        </w:rPr>
        <w:t>Berkley, Kathleen. (1999)</w:t>
      </w:r>
      <w:proofErr w:type="gramStart"/>
      <w:r>
        <w:rPr>
          <w:rFonts w:ascii="Times New Roman" w:hAnsi="Times New Roman" w:cs="Times New Roman"/>
        </w:rPr>
        <w:t>. The Women’s Liberation Movement in America.</w:t>
      </w:r>
      <w:proofErr w:type="gramEnd"/>
      <w:r w:rsidR="00947FB6">
        <w:rPr>
          <w:rFonts w:ascii="Times New Roman" w:hAnsi="Times New Roman" w:cs="Times New Roman"/>
        </w:rPr>
        <w:t xml:space="preserve"> Westport, </w:t>
      </w:r>
    </w:p>
    <w:p w14:paraId="4FAD85C1" w14:textId="3C590BB3" w:rsidR="004500B2" w:rsidRPr="004500B2" w:rsidRDefault="00947FB6" w:rsidP="00BF2227">
      <w:pPr>
        <w:spacing w:line="480" w:lineRule="auto"/>
        <w:rPr>
          <w:rFonts w:ascii="Times New Roman" w:hAnsi="Times New Roman" w:cs="Times New Roman"/>
        </w:rPr>
      </w:pPr>
      <w:r>
        <w:rPr>
          <w:rFonts w:ascii="Times New Roman" w:hAnsi="Times New Roman" w:cs="Times New Roman"/>
        </w:rPr>
        <w:tab/>
        <w:t>CT:</w:t>
      </w:r>
      <w:r w:rsidR="004500B2">
        <w:rPr>
          <w:rFonts w:ascii="Times New Roman" w:hAnsi="Times New Roman" w:cs="Times New Roman"/>
        </w:rPr>
        <w:t xml:space="preserve"> Greenwood Publishing.  </w:t>
      </w:r>
    </w:p>
    <w:p w14:paraId="22141483" w14:textId="3F22A07A" w:rsidR="0098184D" w:rsidRDefault="0034441C" w:rsidP="00BF2227">
      <w:pPr>
        <w:spacing w:line="480" w:lineRule="auto"/>
        <w:rPr>
          <w:rFonts w:ascii="Times New Roman" w:hAnsi="Times New Roman" w:cs="Times New Roman"/>
        </w:rPr>
      </w:pPr>
      <w:r>
        <w:rPr>
          <w:rFonts w:ascii="Times New Roman" w:hAnsi="Times New Roman" w:cs="Times New Roman"/>
        </w:rPr>
        <w:t>Bourque, Linda. (1989)</w:t>
      </w:r>
      <w:proofErr w:type="gramStart"/>
      <w:r>
        <w:rPr>
          <w:rFonts w:ascii="Times New Roman" w:hAnsi="Times New Roman" w:cs="Times New Roman"/>
        </w:rPr>
        <w:t xml:space="preserve">. </w:t>
      </w:r>
      <w:r>
        <w:rPr>
          <w:rFonts w:ascii="Times New Roman" w:hAnsi="Times New Roman" w:cs="Times New Roman"/>
          <w:i/>
        </w:rPr>
        <w:t>Defining Rape.</w:t>
      </w:r>
      <w:proofErr w:type="gramEnd"/>
      <w:r>
        <w:rPr>
          <w:rFonts w:ascii="Times New Roman" w:hAnsi="Times New Roman" w:cs="Times New Roman"/>
          <w:i/>
        </w:rPr>
        <w:t xml:space="preserve"> </w:t>
      </w:r>
      <w:r>
        <w:rPr>
          <w:rFonts w:ascii="Times New Roman" w:hAnsi="Times New Roman" w:cs="Times New Roman"/>
        </w:rPr>
        <w:t>Durham: Duke University Press.</w:t>
      </w:r>
    </w:p>
    <w:p w14:paraId="2E7348FB" w14:textId="77777777" w:rsidR="00947FB6" w:rsidRDefault="0034441C" w:rsidP="00BF2227">
      <w:pPr>
        <w:spacing w:line="480" w:lineRule="auto"/>
        <w:rPr>
          <w:rFonts w:ascii="Times New Roman" w:hAnsi="Times New Roman" w:cs="Times New Roman"/>
          <w:i/>
        </w:rPr>
      </w:pPr>
      <w:proofErr w:type="spellStart"/>
      <w:r>
        <w:rPr>
          <w:rFonts w:ascii="Times New Roman" w:hAnsi="Times New Roman" w:cs="Times New Roman"/>
        </w:rPr>
        <w:t>Bary</w:t>
      </w:r>
      <w:proofErr w:type="spellEnd"/>
      <w:r>
        <w:rPr>
          <w:rFonts w:ascii="Times New Roman" w:hAnsi="Times New Roman" w:cs="Times New Roman"/>
        </w:rPr>
        <w:t xml:space="preserve">, Susan. (1980). Spousal Rape: The Uncommon Law. </w:t>
      </w:r>
      <w:r>
        <w:rPr>
          <w:rFonts w:ascii="Times New Roman" w:hAnsi="Times New Roman" w:cs="Times New Roman"/>
          <w:i/>
        </w:rPr>
        <w:t xml:space="preserve">The American Bar Association </w:t>
      </w:r>
    </w:p>
    <w:p w14:paraId="17689475" w14:textId="6A0910DA" w:rsidR="0098184D" w:rsidRPr="0034441C" w:rsidRDefault="00947FB6" w:rsidP="00BF2227">
      <w:pPr>
        <w:spacing w:line="480" w:lineRule="auto"/>
        <w:rPr>
          <w:rFonts w:ascii="Times New Roman" w:hAnsi="Times New Roman" w:cs="Times New Roman"/>
        </w:rPr>
      </w:pPr>
      <w:r>
        <w:rPr>
          <w:rFonts w:ascii="Times New Roman" w:hAnsi="Times New Roman" w:cs="Times New Roman"/>
          <w:i/>
        </w:rPr>
        <w:tab/>
      </w:r>
      <w:proofErr w:type="gramStart"/>
      <w:r w:rsidR="0034441C">
        <w:rPr>
          <w:rFonts w:ascii="Times New Roman" w:hAnsi="Times New Roman" w:cs="Times New Roman"/>
          <w:i/>
        </w:rPr>
        <w:t xml:space="preserve">Journal, </w:t>
      </w:r>
      <w:r w:rsidR="0034441C">
        <w:rPr>
          <w:rFonts w:ascii="Times New Roman" w:hAnsi="Times New Roman" w:cs="Times New Roman"/>
        </w:rPr>
        <w:t>66, 1088-1091.</w:t>
      </w:r>
      <w:proofErr w:type="gramEnd"/>
      <w:r w:rsidR="0034441C">
        <w:rPr>
          <w:rFonts w:ascii="Times New Roman" w:hAnsi="Times New Roman" w:cs="Times New Roman"/>
        </w:rPr>
        <w:t xml:space="preserve"> </w:t>
      </w:r>
    </w:p>
    <w:p w14:paraId="1F2E9F5C" w14:textId="78D85FBF" w:rsidR="0098184D" w:rsidRDefault="005B50DC" w:rsidP="00BF2227">
      <w:pPr>
        <w:spacing w:line="480" w:lineRule="auto"/>
        <w:rPr>
          <w:rFonts w:ascii="Times New Roman" w:hAnsi="Times New Roman" w:cs="Times New Roman"/>
        </w:rPr>
      </w:pPr>
      <w:r w:rsidRPr="0034441C">
        <w:rPr>
          <w:rFonts w:ascii="Times New Roman" w:hAnsi="Times New Roman" w:cs="Times New Roman"/>
        </w:rPr>
        <w:t>Friedan, Betty. (1975)</w:t>
      </w:r>
      <w:proofErr w:type="gramStart"/>
      <w:r w:rsidRPr="0034441C">
        <w:rPr>
          <w:rFonts w:ascii="Times New Roman" w:hAnsi="Times New Roman" w:cs="Times New Roman"/>
        </w:rPr>
        <w:t xml:space="preserve">. </w:t>
      </w:r>
      <w:r w:rsidRPr="0034441C">
        <w:rPr>
          <w:rFonts w:ascii="Times New Roman" w:hAnsi="Times New Roman" w:cs="Times New Roman"/>
          <w:i/>
        </w:rPr>
        <w:t>The Feminine Mystique.</w:t>
      </w:r>
      <w:proofErr w:type="gramEnd"/>
      <w:r w:rsidRPr="0034441C">
        <w:rPr>
          <w:rFonts w:ascii="Times New Roman" w:hAnsi="Times New Roman" w:cs="Times New Roman"/>
          <w:i/>
        </w:rPr>
        <w:t xml:space="preserve"> </w:t>
      </w:r>
      <w:r w:rsidRPr="0034441C">
        <w:rPr>
          <w:rFonts w:ascii="Times New Roman" w:hAnsi="Times New Roman" w:cs="Times New Roman"/>
        </w:rPr>
        <w:t xml:space="preserve">New York: Dell Publishing Co. </w:t>
      </w:r>
    </w:p>
    <w:p w14:paraId="1FDE1973" w14:textId="77777777" w:rsidR="00947FB6" w:rsidRDefault="0098184D" w:rsidP="00BF2227">
      <w:pPr>
        <w:spacing w:line="480" w:lineRule="auto"/>
        <w:rPr>
          <w:rFonts w:ascii="Times New Roman" w:hAnsi="Times New Roman" w:cs="Times New Roman"/>
        </w:rPr>
      </w:pPr>
      <w:r>
        <w:rPr>
          <w:rFonts w:ascii="Times New Roman" w:hAnsi="Times New Roman" w:cs="Times New Roman"/>
        </w:rPr>
        <w:t xml:space="preserve">How is Spousal Rape </w:t>
      </w:r>
      <w:proofErr w:type="gramStart"/>
      <w:r>
        <w:rPr>
          <w:rFonts w:ascii="Times New Roman" w:hAnsi="Times New Roman" w:cs="Times New Roman"/>
        </w:rPr>
        <w:t>Treated.</w:t>
      </w:r>
      <w:proofErr w:type="gramEnd"/>
      <w:r>
        <w:rPr>
          <w:rFonts w:ascii="Times New Roman" w:hAnsi="Times New Roman" w:cs="Times New Roman"/>
        </w:rPr>
        <w:t xml:space="preserve"> (2003). Alexandria: American Prosecutors Research </w:t>
      </w:r>
    </w:p>
    <w:p w14:paraId="5AA4400C" w14:textId="319A88CC" w:rsidR="0098184D" w:rsidRPr="0034441C" w:rsidRDefault="00947FB6" w:rsidP="00BF2227">
      <w:pPr>
        <w:spacing w:line="480" w:lineRule="auto"/>
        <w:rPr>
          <w:rFonts w:ascii="Times New Roman" w:hAnsi="Times New Roman" w:cs="Times New Roman"/>
        </w:rPr>
      </w:pPr>
      <w:r>
        <w:rPr>
          <w:rFonts w:ascii="Times New Roman" w:hAnsi="Times New Roman" w:cs="Times New Roman"/>
        </w:rPr>
        <w:tab/>
      </w:r>
      <w:r w:rsidR="0098184D">
        <w:rPr>
          <w:rFonts w:ascii="Times New Roman" w:hAnsi="Times New Roman" w:cs="Times New Roman"/>
        </w:rPr>
        <w:t xml:space="preserve">Institute. Retrieved from: </w:t>
      </w:r>
      <w:r w:rsidR="0098184D" w:rsidRPr="00947FB6">
        <w:rPr>
          <w:rFonts w:ascii="Times New Roman" w:hAnsi="Times New Roman" w:cs="Times New Roman"/>
        </w:rPr>
        <w:t>https://www.rainn.org/pdf-files-and-other-</w:t>
      </w:r>
      <w:r w:rsidRPr="00947FB6">
        <w:rPr>
          <w:rFonts w:ascii="Times New Roman" w:hAnsi="Times New Roman" w:cs="Times New Roman"/>
        </w:rPr>
        <w:tab/>
      </w:r>
      <w:r w:rsidR="0098184D" w:rsidRPr="00947FB6">
        <w:rPr>
          <w:rFonts w:ascii="Times New Roman" w:hAnsi="Times New Roman" w:cs="Times New Roman"/>
        </w:rPr>
        <w:t>documents/Public-Policy/Issues/vaw_spousal_rape.pdf</w:t>
      </w:r>
    </w:p>
    <w:p w14:paraId="32CB0D34" w14:textId="77777777" w:rsidR="0034441C" w:rsidRPr="0034441C" w:rsidRDefault="0034441C" w:rsidP="00BF2227">
      <w:pPr>
        <w:spacing w:line="480" w:lineRule="auto"/>
        <w:rPr>
          <w:rFonts w:ascii="Times New Roman" w:hAnsi="Times New Roman" w:cs="Times New Roman"/>
        </w:rPr>
      </w:pPr>
      <w:r w:rsidRPr="0034441C">
        <w:rPr>
          <w:rFonts w:ascii="Times New Roman" w:hAnsi="Times New Roman" w:cs="Times New Roman"/>
        </w:rPr>
        <w:t>Kanowitz, L. (1973</w:t>
      </w:r>
      <w:r w:rsidRPr="004500B2">
        <w:rPr>
          <w:rFonts w:ascii="Times New Roman" w:hAnsi="Times New Roman" w:cs="Times New Roman"/>
          <w:i/>
        </w:rPr>
        <w:t>). Sex roles in Law and Society: Cases and Materials</w:t>
      </w:r>
      <w:r w:rsidRPr="0034441C">
        <w:rPr>
          <w:rFonts w:ascii="Times New Roman" w:hAnsi="Times New Roman" w:cs="Times New Roman"/>
        </w:rPr>
        <w:t xml:space="preserve">. </w:t>
      </w:r>
    </w:p>
    <w:p w14:paraId="4E01194C" w14:textId="4D17600F" w:rsidR="005B50DC" w:rsidRPr="0034441C" w:rsidRDefault="0034441C" w:rsidP="00BF2227">
      <w:pPr>
        <w:spacing w:line="480" w:lineRule="auto"/>
        <w:rPr>
          <w:rFonts w:ascii="Times New Roman" w:hAnsi="Times New Roman" w:cs="Times New Roman"/>
        </w:rPr>
      </w:pPr>
      <w:r w:rsidRPr="0034441C">
        <w:rPr>
          <w:rFonts w:ascii="Times New Roman" w:hAnsi="Times New Roman" w:cs="Times New Roman"/>
        </w:rPr>
        <w:tab/>
        <w:t>Albuquerque: University of New Mexico Press.</w:t>
      </w:r>
    </w:p>
    <w:p w14:paraId="2C543A1A" w14:textId="77777777" w:rsidR="0034441C" w:rsidRPr="0034441C" w:rsidRDefault="0034441C" w:rsidP="00BF2227">
      <w:pPr>
        <w:spacing w:line="480" w:lineRule="auto"/>
        <w:rPr>
          <w:rFonts w:ascii="Times New Roman" w:hAnsi="Times New Roman" w:cs="Times New Roman"/>
        </w:rPr>
      </w:pPr>
      <w:r w:rsidRPr="0034441C">
        <w:rPr>
          <w:rFonts w:ascii="Times New Roman" w:hAnsi="Times New Roman" w:cs="Times New Roman"/>
        </w:rPr>
        <w:t xml:space="preserve">Kanowitz, L. (1969). </w:t>
      </w:r>
      <w:r w:rsidRPr="004500B2">
        <w:rPr>
          <w:rFonts w:ascii="Times New Roman" w:hAnsi="Times New Roman" w:cs="Times New Roman"/>
          <w:i/>
        </w:rPr>
        <w:t>Women and the Law: The Unfinished Revolution</w:t>
      </w:r>
      <w:r w:rsidRPr="0034441C">
        <w:rPr>
          <w:rFonts w:ascii="Times New Roman" w:hAnsi="Times New Roman" w:cs="Times New Roman"/>
        </w:rPr>
        <w:t xml:space="preserve">. Albuquerque: </w:t>
      </w:r>
    </w:p>
    <w:p w14:paraId="3645D34F" w14:textId="77777777" w:rsidR="0034441C" w:rsidRPr="0034441C" w:rsidRDefault="0034441C" w:rsidP="00BF2227">
      <w:pPr>
        <w:spacing w:line="480" w:lineRule="auto"/>
        <w:rPr>
          <w:rFonts w:ascii="Times New Roman" w:hAnsi="Times New Roman" w:cs="Times New Roman"/>
        </w:rPr>
      </w:pPr>
      <w:r w:rsidRPr="0034441C">
        <w:rPr>
          <w:rFonts w:ascii="Times New Roman" w:hAnsi="Times New Roman" w:cs="Times New Roman"/>
        </w:rPr>
        <w:tab/>
      </w:r>
      <w:proofErr w:type="gramStart"/>
      <w:r w:rsidRPr="0034441C">
        <w:rPr>
          <w:rFonts w:ascii="Times New Roman" w:hAnsi="Times New Roman" w:cs="Times New Roman"/>
        </w:rPr>
        <w:t>University of New Mexico Press.</w:t>
      </w:r>
      <w:proofErr w:type="gramEnd"/>
    </w:p>
    <w:p w14:paraId="3542CF80" w14:textId="77777777" w:rsidR="0034441C" w:rsidRPr="0034441C" w:rsidRDefault="0034441C" w:rsidP="00BF2227">
      <w:pPr>
        <w:spacing w:line="480" w:lineRule="auto"/>
        <w:rPr>
          <w:rFonts w:ascii="Times New Roman" w:hAnsi="Times New Roman" w:cs="Times New Roman"/>
        </w:rPr>
      </w:pPr>
      <w:r w:rsidRPr="0034441C">
        <w:rPr>
          <w:rFonts w:ascii="Times New Roman" w:hAnsi="Times New Roman" w:cs="Times New Roman"/>
        </w:rPr>
        <w:t xml:space="preserve">Kuersten, </w:t>
      </w:r>
      <w:proofErr w:type="spellStart"/>
      <w:r w:rsidRPr="0034441C">
        <w:rPr>
          <w:rFonts w:ascii="Times New Roman" w:hAnsi="Times New Roman" w:cs="Times New Roman"/>
        </w:rPr>
        <w:t>Ashlyn</w:t>
      </w:r>
      <w:proofErr w:type="spellEnd"/>
      <w:r w:rsidRPr="0034441C">
        <w:rPr>
          <w:rFonts w:ascii="Times New Roman" w:hAnsi="Times New Roman" w:cs="Times New Roman"/>
        </w:rPr>
        <w:t xml:space="preserve">. (2003. </w:t>
      </w:r>
      <w:r w:rsidRPr="004500B2">
        <w:rPr>
          <w:rFonts w:ascii="Times New Roman" w:hAnsi="Times New Roman" w:cs="Times New Roman"/>
          <w:i/>
        </w:rPr>
        <w:t>Women and the Law: Leaders, Cases, and Documents</w:t>
      </w:r>
      <w:r w:rsidRPr="0034441C">
        <w:rPr>
          <w:rFonts w:ascii="Times New Roman" w:hAnsi="Times New Roman" w:cs="Times New Roman"/>
        </w:rPr>
        <w:t xml:space="preserve">. </w:t>
      </w:r>
    </w:p>
    <w:p w14:paraId="2993F615" w14:textId="5F1F4142" w:rsidR="0034441C" w:rsidRPr="0034441C" w:rsidRDefault="0034441C" w:rsidP="00BF2227">
      <w:pPr>
        <w:spacing w:line="480" w:lineRule="auto"/>
        <w:rPr>
          <w:rFonts w:ascii="Times New Roman" w:hAnsi="Times New Roman" w:cs="Times New Roman"/>
        </w:rPr>
      </w:pPr>
      <w:r w:rsidRPr="0034441C">
        <w:rPr>
          <w:rFonts w:ascii="Times New Roman" w:hAnsi="Times New Roman" w:cs="Times New Roman"/>
        </w:rPr>
        <w:tab/>
        <w:t>Santa Barbara California ABC-CLIO.</w:t>
      </w:r>
    </w:p>
    <w:p w14:paraId="0F264179" w14:textId="77777777" w:rsidR="0034441C" w:rsidRPr="0034441C" w:rsidRDefault="0034441C" w:rsidP="00BF2227">
      <w:pPr>
        <w:spacing w:line="480" w:lineRule="auto"/>
        <w:rPr>
          <w:rFonts w:ascii="Times New Roman" w:hAnsi="Times New Roman" w:cs="Times New Roman"/>
        </w:rPr>
      </w:pPr>
      <w:r w:rsidRPr="0034441C">
        <w:rPr>
          <w:rFonts w:ascii="Times New Roman" w:hAnsi="Times New Roman" w:cs="Times New Roman"/>
        </w:rPr>
        <w:t>Linder, Doug. (2001)</w:t>
      </w:r>
      <w:proofErr w:type="gramStart"/>
      <w:r w:rsidRPr="0034441C">
        <w:rPr>
          <w:rFonts w:ascii="Times New Roman" w:hAnsi="Times New Roman" w:cs="Times New Roman"/>
        </w:rPr>
        <w:t>. The Trial of Susan B. Anthony for Voting.</w:t>
      </w:r>
      <w:proofErr w:type="gramEnd"/>
      <w:r w:rsidRPr="0034441C">
        <w:rPr>
          <w:rFonts w:ascii="Times New Roman" w:hAnsi="Times New Roman" w:cs="Times New Roman"/>
        </w:rPr>
        <w:t xml:space="preserve"> University of </w:t>
      </w:r>
    </w:p>
    <w:p w14:paraId="49AA683E" w14:textId="77777777" w:rsidR="0034441C" w:rsidRDefault="0034441C" w:rsidP="00BF2227">
      <w:pPr>
        <w:spacing w:line="480" w:lineRule="auto"/>
        <w:rPr>
          <w:rFonts w:ascii="Times New Roman" w:hAnsi="Times New Roman" w:cs="Times New Roman"/>
        </w:rPr>
      </w:pPr>
      <w:r w:rsidRPr="0034441C">
        <w:rPr>
          <w:rFonts w:ascii="Times New Roman" w:hAnsi="Times New Roman" w:cs="Times New Roman"/>
        </w:rPr>
        <w:tab/>
      </w:r>
      <w:proofErr w:type="gramStart"/>
      <w:r w:rsidRPr="0034441C">
        <w:rPr>
          <w:rFonts w:ascii="Times New Roman" w:hAnsi="Times New Roman" w:cs="Times New Roman"/>
        </w:rPr>
        <w:t>Missouri-Kansas School of Law.</w:t>
      </w:r>
      <w:proofErr w:type="gramEnd"/>
      <w:r w:rsidRPr="0034441C">
        <w:rPr>
          <w:rFonts w:ascii="Times New Roman" w:hAnsi="Times New Roman" w:cs="Times New Roman"/>
        </w:rPr>
        <w:t xml:space="preserve"> </w:t>
      </w:r>
    </w:p>
    <w:p w14:paraId="107EC81D" w14:textId="77777777" w:rsidR="00947FB6" w:rsidRDefault="0098184D" w:rsidP="00BF2227">
      <w:pPr>
        <w:spacing w:line="480" w:lineRule="auto"/>
        <w:rPr>
          <w:rFonts w:ascii="Times New Roman" w:hAnsi="Times New Roman" w:cs="Times New Roman"/>
        </w:rPr>
      </w:pPr>
      <w:r>
        <w:rPr>
          <w:rFonts w:ascii="Times New Roman" w:hAnsi="Times New Roman" w:cs="Times New Roman"/>
        </w:rPr>
        <w:t>Marital Rape. (2009)</w:t>
      </w:r>
      <w:proofErr w:type="gramStart"/>
      <w:r>
        <w:rPr>
          <w:rFonts w:ascii="Times New Roman" w:hAnsi="Times New Roman" w:cs="Times New Roman"/>
        </w:rPr>
        <w:t>. Rape, Abuse, and Incest National Network.</w:t>
      </w:r>
      <w:proofErr w:type="gramEnd"/>
      <w:r>
        <w:rPr>
          <w:rFonts w:ascii="Times New Roman" w:hAnsi="Times New Roman" w:cs="Times New Roman"/>
        </w:rPr>
        <w:t xml:space="preserve"> Retrieved from: </w:t>
      </w:r>
    </w:p>
    <w:p w14:paraId="7F9E4DD4" w14:textId="1001A785" w:rsidR="0098184D" w:rsidRDefault="00947FB6" w:rsidP="00BF2227">
      <w:pPr>
        <w:spacing w:line="480" w:lineRule="auto"/>
        <w:rPr>
          <w:rFonts w:ascii="Times New Roman" w:hAnsi="Times New Roman" w:cs="Times New Roman"/>
        </w:rPr>
      </w:pPr>
      <w:r>
        <w:rPr>
          <w:rFonts w:ascii="Times New Roman" w:hAnsi="Times New Roman" w:cs="Times New Roman"/>
        </w:rPr>
        <w:tab/>
      </w:r>
      <w:r w:rsidR="0098184D" w:rsidRPr="00BF2227">
        <w:rPr>
          <w:rFonts w:ascii="Times New Roman" w:hAnsi="Times New Roman" w:cs="Times New Roman"/>
        </w:rPr>
        <w:t>https://www.rainn.org/public-policy/sexual-assault-issues/marital-rape</w:t>
      </w:r>
    </w:p>
    <w:p w14:paraId="2A846033" w14:textId="77777777" w:rsidR="00BF2227" w:rsidRDefault="004500B2" w:rsidP="00BF2227">
      <w:pPr>
        <w:spacing w:line="480" w:lineRule="auto"/>
        <w:rPr>
          <w:rFonts w:ascii="Times New Roman" w:hAnsi="Times New Roman" w:cs="Times New Roman"/>
        </w:rPr>
      </w:pPr>
      <w:proofErr w:type="gramStart"/>
      <w:r w:rsidRPr="004500B2">
        <w:rPr>
          <w:rFonts w:ascii="Times New Roman" w:hAnsi="Times New Roman" w:cs="Times New Roman"/>
          <w:i/>
        </w:rPr>
        <w:t>Rosencrantz v. Territory</w:t>
      </w:r>
      <w:r>
        <w:rPr>
          <w:rFonts w:ascii="Times New Roman" w:hAnsi="Times New Roman" w:cs="Times New Roman"/>
        </w:rPr>
        <w:t>.</w:t>
      </w:r>
      <w:proofErr w:type="gramEnd"/>
      <w:r>
        <w:rPr>
          <w:rFonts w:ascii="Times New Roman" w:hAnsi="Times New Roman" w:cs="Times New Roman"/>
        </w:rPr>
        <w:t xml:space="preserve"> (1885)</w:t>
      </w:r>
      <w:proofErr w:type="gramStart"/>
      <w:r>
        <w:rPr>
          <w:rFonts w:ascii="Times New Roman" w:hAnsi="Times New Roman" w:cs="Times New Roman"/>
        </w:rPr>
        <w:t>. Pacific Reporter, 5, 308-310.</w:t>
      </w:r>
      <w:proofErr w:type="gramEnd"/>
      <w:r>
        <w:rPr>
          <w:rFonts w:ascii="Times New Roman" w:hAnsi="Times New Roman" w:cs="Times New Roman"/>
        </w:rPr>
        <w:t xml:space="preserve"> Saint Paul: West</w:t>
      </w:r>
    </w:p>
    <w:p w14:paraId="47721FA2" w14:textId="336B57EC" w:rsidR="004500B2" w:rsidRDefault="004500B2" w:rsidP="00BF2227">
      <w:pPr>
        <w:spacing w:line="480" w:lineRule="auto"/>
        <w:ind w:firstLine="720"/>
        <w:rPr>
          <w:rFonts w:ascii="Times New Roman" w:hAnsi="Times New Roman" w:cs="Times New Roman"/>
        </w:rPr>
      </w:pPr>
      <w:r>
        <w:rPr>
          <w:rFonts w:ascii="Times New Roman" w:hAnsi="Times New Roman" w:cs="Times New Roman"/>
        </w:rPr>
        <w:lastRenderedPageBreak/>
        <w:t xml:space="preserve"> Publishing Company. </w:t>
      </w:r>
    </w:p>
    <w:p w14:paraId="4073FA23" w14:textId="18EC2A08" w:rsidR="0034441C" w:rsidRPr="0034441C" w:rsidRDefault="0034441C" w:rsidP="00BF2227">
      <w:pPr>
        <w:spacing w:line="480" w:lineRule="auto"/>
        <w:rPr>
          <w:rFonts w:ascii="Times New Roman" w:hAnsi="Times New Roman" w:cs="Times New Roman"/>
        </w:rPr>
      </w:pPr>
      <w:proofErr w:type="gramStart"/>
      <w:r w:rsidRPr="0034441C">
        <w:rPr>
          <w:rFonts w:ascii="Times New Roman" w:hAnsi="Times New Roman" w:cs="Times New Roman"/>
        </w:rPr>
        <w:t>Salmon, M. (1986).</w:t>
      </w:r>
      <w:proofErr w:type="gramEnd"/>
      <w:r w:rsidRPr="0034441C">
        <w:rPr>
          <w:rFonts w:ascii="Times New Roman" w:hAnsi="Times New Roman" w:cs="Times New Roman"/>
        </w:rPr>
        <w:t xml:space="preserve"> </w:t>
      </w:r>
      <w:proofErr w:type="gramStart"/>
      <w:r w:rsidRPr="004500B2">
        <w:rPr>
          <w:rFonts w:ascii="Times New Roman" w:hAnsi="Times New Roman" w:cs="Times New Roman"/>
          <w:i/>
        </w:rPr>
        <w:t>Wo</w:t>
      </w:r>
      <w:r w:rsidR="004500B2">
        <w:rPr>
          <w:rFonts w:ascii="Times New Roman" w:hAnsi="Times New Roman" w:cs="Times New Roman"/>
          <w:i/>
        </w:rPr>
        <w:t>men and the Law of Property in E</w:t>
      </w:r>
      <w:r w:rsidRPr="004500B2">
        <w:rPr>
          <w:rFonts w:ascii="Times New Roman" w:hAnsi="Times New Roman" w:cs="Times New Roman"/>
          <w:i/>
        </w:rPr>
        <w:t>arly America</w:t>
      </w:r>
      <w:r w:rsidRPr="0034441C">
        <w:rPr>
          <w:rFonts w:ascii="Times New Roman" w:hAnsi="Times New Roman" w:cs="Times New Roman"/>
        </w:rPr>
        <w:t>.</w:t>
      </w:r>
      <w:proofErr w:type="gramEnd"/>
      <w:r w:rsidRPr="0034441C">
        <w:rPr>
          <w:rFonts w:ascii="Times New Roman" w:hAnsi="Times New Roman" w:cs="Times New Roman"/>
        </w:rPr>
        <w:t xml:space="preserve"> Chapel Hill: </w:t>
      </w:r>
    </w:p>
    <w:p w14:paraId="3C4FDE7E" w14:textId="77777777" w:rsidR="0034441C" w:rsidRDefault="0034441C" w:rsidP="00BF2227">
      <w:pPr>
        <w:spacing w:line="480" w:lineRule="auto"/>
        <w:rPr>
          <w:rFonts w:ascii="Times New Roman" w:hAnsi="Times New Roman" w:cs="Times New Roman"/>
        </w:rPr>
      </w:pPr>
      <w:r w:rsidRPr="0034441C">
        <w:rPr>
          <w:rFonts w:ascii="Times New Roman" w:hAnsi="Times New Roman" w:cs="Times New Roman"/>
        </w:rPr>
        <w:tab/>
      </w:r>
      <w:proofErr w:type="gramStart"/>
      <w:r w:rsidRPr="0034441C">
        <w:rPr>
          <w:rFonts w:ascii="Times New Roman" w:hAnsi="Times New Roman" w:cs="Times New Roman"/>
        </w:rPr>
        <w:t>University of North Carolina Press.</w:t>
      </w:r>
      <w:proofErr w:type="gramEnd"/>
    </w:p>
    <w:p w14:paraId="3818D8F1" w14:textId="77777777" w:rsidR="00BF2227" w:rsidRDefault="00947FB6" w:rsidP="00BF2227">
      <w:pPr>
        <w:spacing w:line="480" w:lineRule="auto"/>
        <w:rPr>
          <w:rFonts w:ascii="Times New Roman" w:hAnsi="Times New Roman" w:cs="Times New Roman"/>
        </w:rPr>
      </w:pPr>
      <w:proofErr w:type="spellStart"/>
      <w:r>
        <w:rPr>
          <w:rFonts w:ascii="Times New Roman" w:hAnsi="Times New Roman" w:cs="Times New Roman"/>
        </w:rPr>
        <w:t>Stoebuck</w:t>
      </w:r>
      <w:proofErr w:type="spellEnd"/>
      <w:r>
        <w:rPr>
          <w:rFonts w:ascii="Times New Roman" w:hAnsi="Times New Roman" w:cs="Times New Roman"/>
        </w:rPr>
        <w:t>, William. (1968). Reception of English Common Law in the American</w:t>
      </w:r>
    </w:p>
    <w:p w14:paraId="2F56CB9E" w14:textId="2C477815" w:rsidR="00947FB6" w:rsidRPr="00947FB6" w:rsidRDefault="00947FB6" w:rsidP="00BF2227">
      <w:pPr>
        <w:spacing w:line="480" w:lineRule="auto"/>
        <w:ind w:firstLine="720"/>
        <w:rPr>
          <w:rFonts w:ascii="Times New Roman" w:hAnsi="Times New Roman" w:cs="Times New Roman"/>
        </w:rPr>
      </w:pPr>
      <w:r>
        <w:rPr>
          <w:rFonts w:ascii="Times New Roman" w:hAnsi="Times New Roman" w:cs="Times New Roman"/>
        </w:rPr>
        <w:t xml:space="preserve"> Colonies. </w:t>
      </w:r>
      <w:r>
        <w:rPr>
          <w:rFonts w:ascii="Times New Roman" w:hAnsi="Times New Roman" w:cs="Times New Roman"/>
          <w:i/>
        </w:rPr>
        <w:t xml:space="preserve">William and Mary Law Review, </w:t>
      </w:r>
      <w:r>
        <w:rPr>
          <w:rFonts w:ascii="Times New Roman" w:hAnsi="Times New Roman" w:cs="Times New Roman"/>
        </w:rPr>
        <w:t xml:space="preserve">10 (2). </w:t>
      </w:r>
    </w:p>
    <w:p w14:paraId="55CC4E87" w14:textId="77777777" w:rsidR="0034441C" w:rsidRPr="0034441C" w:rsidRDefault="0034441C" w:rsidP="00BF2227">
      <w:pPr>
        <w:spacing w:line="480" w:lineRule="auto"/>
        <w:rPr>
          <w:rFonts w:ascii="Times New Roman" w:hAnsi="Times New Roman" w:cs="Times New Roman"/>
        </w:rPr>
      </w:pPr>
      <w:r w:rsidRPr="0034441C">
        <w:rPr>
          <w:rFonts w:ascii="Times New Roman" w:hAnsi="Times New Roman" w:cs="Times New Roman"/>
        </w:rPr>
        <w:t xml:space="preserve">Stretton, Tim. (2009) “Coverture and Unity of a Person in Blackstone’s </w:t>
      </w:r>
    </w:p>
    <w:p w14:paraId="19ED773F" w14:textId="77777777" w:rsidR="0034441C" w:rsidRPr="0034441C" w:rsidRDefault="0034441C" w:rsidP="00BF2227">
      <w:pPr>
        <w:spacing w:line="480" w:lineRule="auto"/>
        <w:rPr>
          <w:rFonts w:ascii="Times New Roman" w:hAnsi="Times New Roman" w:cs="Times New Roman"/>
        </w:rPr>
      </w:pPr>
      <w:r w:rsidRPr="0034441C">
        <w:rPr>
          <w:rFonts w:ascii="Times New Roman" w:hAnsi="Times New Roman" w:cs="Times New Roman"/>
        </w:rPr>
        <w:tab/>
        <w:t xml:space="preserve">Commentaries.” </w:t>
      </w:r>
      <w:r w:rsidRPr="004500B2">
        <w:rPr>
          <w:rFonts w:ascii="Times New Roman" w:hAnsi="Times New Roman" w:cs="Times New Roman"/>
        </w:rPr>
        <w:t>Blackstone and His Commentaries</w:t>
      </w:r>
      <w:r w:rsidRPr="0034441C">
        <w:rPr>
          <w:rFonts w:ascii="Times New Roman" w:hAnsi="Times New Roman" w:cs="Times New Roman"/>
        </w:rPr>
        <w:t xml:space="preserve">. Hart Publishing Oxford </w:t>
      </w:r>
    </w:p>
    <w:p w14:paraId="46047C6F" w14:textId="77777777" w:rsidR="0034441C" w:rsidRPr="0034441C" w:rsidRDefault="0034441C" w:rsidP="00BF2227">
      <w:pPr>
        <w:spacing w:line="480" w:lineRule="auto"/>
        <w:rPr>
          <w:rFonts w:ascii="Times New Roman" w:hAnsi="Times New Roman" w:cs="Times New Roman"/>
        </w:rPr>
      </w:pPr>
      <w:r w:rsidRPr="0034441C">
        <w:rPr>
          <w:rFonts w:ascii="Times New Roman" w:hAnsi="Times New Roman" w:cs="Times New Roman"/>
        </w:rPr>
        <w:tab/>
      </w:r>
      <w:proofErr w:type="gramStart"/>
      <w:r w:rsidRPr="0034441C">
        <w:rPr>
          <w:rFonts w:ascii="Times New Roman" w:hAnsi="Times New Roman" w:cs="Times New Roman"/>
        </w:rPr>
        <w:t>and</w:t>
      </w:r>
      <w:proofErr w:type="gramEnd"/>
      <w:r w:rsidRPr="0034441C">
        <w:rPr>
          <w:rFonts w:ascii="Times New Roman" w:hAnsi="Times New Roman" w:cs="Times New Roman"/>
        </w:rPr>
        <w:t xml:space="preserve"> Portland OR. </w:t>
      </w:r>
    </w:p>
    <w:p w14:paraId="14144F18" w14:textId="77777777" w:rsidR="0034441C" w:rsidRPr="004500B2" w:rsidRDefault="0034441C" w:rsidP="00BF2227">
      <w:pPr>
        <w:spacing w:line="480" w:lineRule="auto"/>
        <w:rPr>
          <w:rFonts w:ascii="Times New Roman" w:hAnsi="Times New Roman" w:cs="Times New Roman"/>
          <w:i/>
        </w:rPr>
      </w:pPr>
      <w:r w:rsidRPr="0034441C">
        <w:rPr>
          <w:rFonts w:ascii="Times New Roman" w:hAnsi="Times New Roman" w:cs="Times New Roman"/>
        </w:rPr>
        <w:t xml:space="preserve">Thomas, Tracy and Tracey </w:t>
      </w:r>
      <w:proofErr w:type="spellStart"/>
      <w:r w:rsidRPr="0034441C">
        <w:rPr>
          <w:rFonts w:ascii="Times New Roman" w:hAnsi="Times New Roman" w:cs="Times New Roman"/>
        </w:rPr>
        <w:t>Boisseau</w:t>
      </w:r>
      <w:proofErr w:type="spellEnd"/>
      <w:r w:rsidRPr="0034441C">
        <w:rPr>
          <w:rFonts w:ascii="Times New Roman" w:hAnsi="Times New Roman" w:cs="Times New Roman"/>
        </w:rPr>
        <w:t xml:space="preserve">. (2011). </w:t>
      </w:r>
      <w:r w:rsidRPr="004500B2">
        <w:rPr>
          <w:rFonts w:ascii="Times New Roman" w:hAnsi="Times New Roman" w:cs="Times New Roman"/>
          <w:i/>
        </w:rPr>
        <w:t xml:space="preserve">Feminist Legal History: Essays on </w:t>
      </w:r>
    </w:p>
    <w:p w14:paraId="6A2AFFCB" w14:textId="77777777" w:rsidR="0034441C" w:rsidRPr="0034441C" w:rsidRDefault="0034441C" w:rsidP="00BF2227">
      <w:pPr>
        <w:spacing w:line="480" w:lineRule="auto"/>
        <w:rPr>
          <w:rFonts w:ascii="Times New Roman" w:hAnsi="Times New Roman" w:cs="Times New Roman"/>
        </w:rPr>
      </w:pPr>
      <w:r w:rsidRPr="004500B2">
        <w:rPr>
          <w:rFonts w:ascii="Times New Roman" w:hAnsi="Times New Roman" w:cs="Times New Roman"/>
          <w:i/>
        </w:rPr>
        <w:tab/>
      </w:r>
      <w:proofErr w:type="gramStart"/>
      <w:r w:rsidRPr="004500B2">
        <w:rPr>
          <w:rFonts w:ascii="Times New Roman" w:hAnsi="Times New Roman" w:cs="Times New Roman"/>
          <w:i/>
        </w:rPr>
        <w:t>Women and Law</w:t>
      </w:r>
      <w:r w:rsidRPr="0034441C">
        <w:rPr>
          <w:rFonts w:ascii="Times New Roman" w:hAnsi="Times New Roman" w:cs="Times New Roman"/>
        </w:rPr>
        <w:t>.</w:t>
      </w:r>
      <w:proofErr w:type="gramEnd"/>
      <w:r w:rsidRPr="0034441C">
        <w:rPr>
          <w:rFonts w:ascii="Times New Roman" w:hAnsi="Times New Roman" w:cs="Times New Roman"/>
        </w:rPr>
        <w:t xml:space="preserve"> </w:t>
      </w:r>
      <w:proofErr w:type="gramStart"/>
      <w:r w:rsidRPr="0034441C">
        <w:rPr>
          <w:rFonts w:ascii="Times New Roman" w:hAnsi="Times New Roman" w:cs="Times New Roman"/>
        </w:rPr>
        <w:t>New York University Press.</w:t>
      </w:r>
      <w:proofErr w:type="gramEnd"/>
      <w:r w:rsidRPr="0034441C">
        <w:rPr>
          <w:rFonts w:ascii="Times New Roman" w:hAnsi="Times New Roman" w:cs="Times New Roman"/>
        </w:rPr>
        <w:t xml:space="preserve"> </w:t>
      </w:r>
    </w:p>
    <w:p w14:paraId="23C1058C" w14:textId="77777777" w:rsidR="0034441C" w:rsidRPr="0034441C" w:rsidRDefault="0034441C" w:rsidP="00BF2227">
      <w:pPr>
        <w:spacing w:line="480" w:lineRule="auto"/>
        <w:rPr>
          <w:rFonts w:ascii="Times New Roman" w:hAnsi="Times New Roman" w:cs="Times New Roman"/>
          <w:i/>
        </w:rPr>
      </w:pPr>
      <w:r w:rsidRPr="0034441C">
        <w:rPr>
          <w:rFonts w:ascii="Times New Roman" w:hAnsi="Times New Roman" w:cs="Times New Roman"/>
        </w:rPr>
        <w:t>Tomasson, Verna. (</w:t>
      </w:r>
      <w:proofErr w:type="gramStart"/>
      <w:r w:rsidRPr="0034441C">
        <w:rPr>
          <w:rFonts w:ascii="Times New Roman" w:hAnsi="Times New Roman" w:cs="Times New Roman"/>
        </w:rPr>
        <w:t>September,</w:t>
      </w:r>
      <w:proofErr w:type="gramEnd"/>
      <w:r w:rsidRPr="0034441C">
        <w:rPr>
          <w:rFonts w:ascii="Times New Roman" w:hAnsi="Times New Roman" w:cs="Times New Roman"/>
        </w:rPr>
        <w:t xml:space="preserve"> 1970). </w:t>
      </w:r>
      <w:proofErr w:type="gramStart"/>
      <w:r w:rsidRPr="0034441C">
        <w:rPr>
          <w:rFonts w:ascii="Times New Roman" w:hAnsi="Times New Roman" w:cs="Times New Roman"/>
        </w:rPr>
        <w:t>“Women as Property”.</w:t>
      </w:r>
      <w:proofErr w:type="gramEnd"/>
      <w:r w:rsidRPr="0034441C">
        <w:rPr>
          <w:rFonts w:ascii="Times New Roman" w:hAnsi="Times New Roman" w:cs="Times New Roman"/>
        </w:rPr>
        <w:t xml:space="preserve"> </w:t>
      </w:r>
      <w:r w:rsidRPr="0034441C">
        <w:rPr>
          <w:rFonts w:ascii="Times New Roman" w:hAnsi="Times New Roman" w:cs="Times New Roman"/>
          <w:i/>
        </w:rPr>
        <w:t xml:space="preserve">The New Republic. </w:t>
      </w:r>
    </w:p>
    <w:p w14:paraId="3EFE9584" w14:textId="77777777" w:rsidR="0034441C" w:rsidRPr="0034441C" w:rsidRDefault="0034441C" w:rsidP="00BF2227">
      <w:pPr>
        <w:spacing w:line="480" w:lineRule="auto"/>
        <w:rPr>
          <w:rFonts w:ascii="Times New Roman" w:hAnsi="Times New Roman" w:cs="Times New Roman"/>
        </w:rPr>
      </w:pPr>
      <w:r w:rsidRPr="0034441C">
        <w:rPr>
          <w:rFonts w:ascii="Times New Roman" w:hAnsi="Times New Roman" w:cs="Times New Roman"/>
          <w:i/>
        </w:rPr>
        <w:tab/>
      </w:r>
      <w:r w:rsidRPr="0034441C">
        <w:rPr>
          <w:rFonts w:ascii="Times New Roman" w:hAnsi="Times New Roman" w:cs="Times New Roman"/>
        </w:rPr>
        <w:t xml:space="preserve">Retrieved from: </w:t>
      </w:r>
    </w:p>
    <w:p w14:paraId="47BAB1A2" w14:textId="77777777" w:rsidR="0034441C" w:rsidRPr="0034441C" w:rsidRDefault="0034441C" w:rsidP="00BF2227">
      <w:pPr>
        <w:spacing w:line="480" w:lineRule="auto"/>
        <w:rPr>
          <w:rFonts w:ascii="Times New Roman" w:hAnsi="Times New Roman" w:cs="Times New Roman"/>
        </w:rPr>
      </w:pPr>
      <w:r w:rsidRPr="0034441C">
        <w:rPr>
          <w:rFonts w:ascii="Times New Roman" w:hAnsi="Times New Roman" w:cs="Times New Roman"/>
        </w:rPr>
        <w:tab/>
        <w:t>http://www.newrepublic.com/article/politics/91471/women-property</w:t>
      </w:r>
    </w:p>
    <w:p w14:paraId="430EE322" w14:textId="77777777" w:rsidR="0034441C" w:rsidRPr="0034441C" w:rsidRDefault="0034441C" w:rsidP="00BF2227">
      <w:pPr>
        <w:spacing w:line="480" w:lineRule="auto"/>
        <w:rPr>
          <w:rFonts w:ascii="Times New Roman" w:eastAsia="Arial Unicode MS" w:hAnsi="Times New Roman" w:cs="Times New Roman"/>
        </w:rPr>
      </w:pPr>
      <w:proofErr w:type="spellStart"/>
      <w:r w:rsidRPr="0034441C">
        <w:rPr>
          <w:rFonts w:ascii="Times New Roman" w:eastAsia="Arial Unicode MS" w:hAnsi="Times New Roman" w:cs="Times New Roman"/>
        </w:rPr>
        <w:t>Warbasse</w:t>
      </w:r>
      <w:proofErr w:type="spellEnd"/>
      <w:r w:rsidRPr="0034441C">
        <w:rPr>
          <w:rFonts w:ascii="Times New Roman" w:eastAsia="Arial Unicode MS" w:hAnsi="Times New Roman" w:cs="Times New Roman"/>
        </w:rPr>
        <w:t xml:space="preserve">, E. B. (1987). </w:t>
      </w:r>
      <w:proofErr w:type="gramStart"/>
      <w:r w:rsidRPr="004500B2">
        <w:rPr>
          <w:rFonts w:ascii="Times New Roman" w:eastAsia="Arial Unicode MS" w:hAnsi="Times New Roman" w:cs="Times New Roman"/>
          <w:i/>
        </w:rPr>
        <w:t>The Changing Legal Rights of Married Women, 1800-1861</w:t>
      </w:r>
      <w:r w:rsidRPr="0034441C">
        <w:rPr>
          <w:rFonts w:ascii="Times New Roman" w:eastAsia="Arial Unicode MS" w:hAnsi="Times New Roman" w:cs="Times New Roman"/>
        </w:rPr>
        <w:t>.</w:t>
      </w:r>
      <w:proofErr w:type="gramEnd"/>
    </w:p>
    <w:p w14:paraId="2D2C5BEE" w14:textId="77777777" w:rsidR="0034441C" w:rsidRPr="0034441C" w:rsidRDefault="0034441C" w:rsidP="00BF2227">
      <w:pPr>
        <w:spacing w:line="480" w:lineRule="auto"/>
        <w:ind w:firstLine="720"/>
        <w:rPr>
          <w:rFonts w:ascii="Times New Roman" w:hAnsi="Times New Roman" w:cs="Times New Roman"/>
        </w:rPr>
      </w:pPr>
      <w:r w:rsidRPr="0034441C">
        <w:rPr>
          <w:rFonts w:ascii="Times New Roman" w:eastAsia="Arial Unicode MS" w:hAnsi="Times New Roman" w:cs="Times New Roman"/>
        </w:rPr>
        <w:t xml:space="preserve"> New York: Garland Pub.</w:t>
      </w:r>
      <w:r w:rsidRPr="0034441C">
        <w:rPr>
          <w:rFonts w:ascii="Times New Roman" w:hAnsi="Times New Roman" w:cs="Times New Roman"/>
        </w:rPr>
        <w:tab/>
      </w:r>
    </w:p>
    <w:p w14:paraId="0EA3F1CE" w14:textId="77777777" w:rsidR="0034441C" w:rsidRPr="0034441C" w:rsidRDefault="0034441C" w:rsidP="00BF2227">
      <w:pPr>
        <w:spacing w:line="480" w:lineRule="auto"/>
        <w:rPr>
          <w:rFonts w:ascii="Times New Roman" w:hAnsi="Times New Roman" w:cs="Times New Roman"/>
        </w:rPr>
      </w:pPr>
    </w:p>
    <w:p w14:paraId="5F175014" w14:textId="77777777" w:rsidR="0034441C" w:rsidRPr="0034441C" w:rsidRDefault="0034441C" w:rsidP="00BF2227">
      <w:pPr>
        <w:spacing w:line="480" w:lineRule="auto"/>
        <w:rPr>
          <w:rFonts w:ascii="Times New Roman" w:hAnsi="Times New Roman" w:cs="Times New Roman"/>
        </w:rPr>
      </w:pPr>
    </w:p>
    <w:p w14:paraId="296DEF96" w14:textId="77777777" w:rsidR="0034441C" w:rsidRPr="0034441C" w:rsidRDefault="0034441C" w:rsidP="00BF2227">
      <w:pPr>
        <w:spacing w:line="480" w:lineRule="auto"/>
        <w:rPr>
          <w:rFonts w:ascii="Times New Roman" w:hAnsi="Times New Roman" w:cs="Times New Roman"/>
        </w:rPr>
      </w:pPr>
    </w:p>
    <w:p w14:paraId="5EC2D1F3" w14:textId="77777777" w:rsidR="002874AD" w:rsidRPr="00635006" w:rsidRDefault="002874AD" w:rsidP="00BF2227">
      <w:pPr>
        <w:spacing w:line="480" w:lineRule="auto"/>
        <w:rPr>
          <w:rFonts w:ascii="Times New Roman" w:hAnsi="Times New Roman" w:cs="Times New Roman"/>
        </w:rPr>
      </w:pPr>
    </w:p>
    <w:sectPr w:rsidR="002874AD" w:rsidRPr="00635006" w:rsidSect="009E6E14">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DFDA2" w14:textId="77777777" w:rsidR="007553FB" w:rsidRDefault="007553FB" w:rsidP="00DE1FDC">
      <w:r>
        <w:separator/>
      </w:r>
    </w:p>
  </w:endnote>
  <w:endnote w:type="continuationSeparator" w:id="0">
    <w:p w14:paraId="7DAAE153" w14:textId="77777777" w:rsidR="007553FB" w:rsidRDefault="007553FB" w:rsidP="00DE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570D6" w14:textId="77777777" w:rsidR="007553FB" w:rsidRDefault="007553FB" w:rsidP="00DE1FDC">
      <w:r>
        <w:separator/>
      </w:r>
    </w:p>
  </w:footnote>
  <w:footnote w:type="continuationSeparator" w:id="0">
    <w:p w14:paraId="60236574" w14:textId="77777777" w:rsidR="007553FB" w:rsidRDefault="007553FB" w:rsidP="00DE1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6958" w14:textId="77777777" w:rsidR="007553FB" w:rsidRDefault="007553FB" w:rsidP="009171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16B62" w14:textId="77777777" w:rsidR="007553FB" w:rsidRDefault="007553FB" w:rsidP="00DE1F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3503D" w14:textId="77777777" w:rsidR="007553FB" w:rsidRDefault="007553FB" w:rsidP="009171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86F148" w14:textId="77777777" w:rsidR="007553FB" w:rsidRDefault="007553FB" w:rsidP="00DE1FDC">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C54C" w14:textId="77777777" w:rsidR="007553FB" w:rsidRDefault="007553FB" w:rsidP="009171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001">
      <w:rPr>
        <w:rStyle w:val="PageNumber"/>
        <w:noProof/>
      </w:rPr>
      <w:t>2</w:t>
    </w:r>
    <w:r>
      <w:rPr>
        <w:rStyle w:val="PageNumber"/>
      </w:rPr>
      <w:fldChar w:fldCharType="end"/>
    </w:r>
  </w:p>
  <w:p w14:paraId="7C361D92" w14:textId="431968BE" w:rsidR="007553FB" w:rsidRDefault="007553FB" w:rsidP="00DE1FDC">
    <w:pPr>
      <w:pStyle w:val="Header"/>
      <w:ind w:right="360"/>
    </w:pPr>
    <w:r>
      <w:t>Women in Legislation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6"/>
    <w:rsid w:val="000119F4"/>
    <w:rsid w:val="000305AD"/>
    <w:rsid w:val="000948A0"/>
    <w:rsid w:val="0009740F"/>
    <w:rsid w:val="000D4B4B"/>
    <w:rsid w:val="001446CB"/>
    <w:rsid w:val="00171BE2"/>
    <w:rsid w:val="001B36E0"/>
    <w:rsid w:val="001C6D38"/>
    <w:rsid w:val="001E6C2D"/>
    <w:rsid w:val="00227A2C"/>
    <w:rsid w:val="00260412"/>
    <w:rsid w:val="002874AD"/>
    <w:rsid w:val="0030284A"/>
    <w:rsid w:val="003306EA"/>
    <w:rsid w:val="0034441C"/>
    <w:rsid w:val="003566DE"/>
    <w:rsid w:val="003736D5"/>
    <w:rsid w:val="00374FFA"/>
    <w:rsid w:val="003948A2"/>
    <w:rsid w:val="00417AF3"/>
    <w:rsid w:val="00426D2F"/>
    <w:rsid w:val="0043787C"/>
    <w:rsid w:val="004500B2"/>
    <w:rsid w:val="004F48CC"/>
    <w:rsid w:val="00507DE1"/>
    <w:rsid w:val="005340C4"/>
    <w:rsid w:val="0053475A"/>
    <w:rsid w:val="005B11C4"/>
    <w:rsid w:val="005B50DC"/>
    <w:rsid w:val="005C0E4E"/>
    <w:rsid w:val="005D1F05"/>
    <w:rsid w:val="00635006"/>
    <w:rsid w:val="00635F76"/>
    <w:rsid w:val="006655A8"/>
    <w:rsid w:val="006663B3"/>
    <w:rsid w:val="006A3001"/>
    <w:rsid w:val="006F351F"/>
    <w:rsid w:val="007553FB"/>
    <w:rsid w:val="00756498"/>
    <w:rsid w:val="007753E8"/>
    <w:rsid w:val="0078035D"/>
    <w:rsid w:val="007815FD"/>
    <w:rsid w:val="007A3A96"/>
    <w:rsid w:val="007E7191"/>
    <w:rsid w:val="007F652E"/>
    <w:rsid w:val="00813FAF"/>
    <w:rsid w:val="00857A06"/>
    <w:rsid w:val="008752FA"/>
    <w:rsid w:val="008F6DB9"/>
    <w:rsid w:val="0091719E"/>
    <w:rsid w:val="00932242"/>
    <w:rsid w:val="00947FB6"/>
    <w:rsid w:val="009531A9"/>
    <w:rsid w:val="0096245B"/>
    <w:rsid w:val="0098184D"/>
    <w:rsid w:val="009E6E14"/>
    <w:rsid w:val="00A01614"/>
    <w:rsid w:val="00A61DF7"/>
    <w:rsid w:val="00AF2B66"/>
    <w:rsid w:val="00B16D94"/>
    <w:rsid w:val="00B27467"/>
    <w:rsid w:val="00B469D3"/>
    <w:rsid w:val="00BA21A2"/>
    <w:rsid w:val="00BD14E9"/>
    <w:rsid w:val="00BF2227"/>
    <w:rsid w:val="00C16AC8"/>
    <w:rsid w:val="00C26D1D"/>
    <w:rsid w:val="00C50C67"/>
    <w:rsid w:val="00C81615"/>
    <w:rsid w:val="00C97186"/>
    <w:rsid w:val="00D324FD"/>
    <w:rsid w:val="00D326A3"/>
    <w:rsid w:val="00D81961"/>
    <w:rsid w:val="00DA612C"/>
    <w:rsid w:val="00DB5B6F"/>
    <w:rsid w:val="00DB73B6"/>
    <w:rsid w:val="00DD13B6"/>
    <w:rsid w:val="00DE1FDC"/>
    <w:rsid w:val="00E41594"/>
    <w:rsid w:val="00E453DB"/>
    <w:rsid w:val="00E53268"/>
    <w:rsid w:val="00E96616"/>
    <w:rsid w:val="00EC4F80"/>
    <w:rsid w:val="00F43B89"/>
    <w:rsid w:val="00F6063F"/>
    <w:rsid w:val="00F71B6C"/>
    <w:rsid w:val="00F82F57"/>
    <w:rsid w:val="00FB772B"/>
    <w:rsid w:val="00FB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93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FDC"/>
    <w:pPr>
      <w:tabs>
        <w:tab w:val="center" w:pos="4320"/>
        <w:tab w:val="right" w:pos="8640"/>
      </w:tabs>
    </w:pPr>
  </w:style>
  <w:style w:type="character" w:customStyle="1" w:styleId="HeaderChar">
    <w:name w:val="Header Char"/>
    <w:basedOn w:val="DefaultParagraphFont"/>
    <w:link w:val="Header"/>
    <w:uiPriority w:val="99"/>
    <w:rsid w:val="00DE1FDC"/>
  </w:style>
  <w:style w:type="character" w:styleId="PageNumber">
    <w:name w:val="page number"/>
    <w:basedOn w:val="DefaultParagraphFont"/>
    <w:uiPriority w:val="99"/>
    <w:semiHidden/>
    <w:unhideWhenUsed/>
    <w:rsid w:val="00DE1FDC"/>
  </w:style>
  <w:style w:type="character" w:styleId="Hyperlink">
    <w:name w:val="Hyperlink"/>
    <w:basedOn w:val="DefaultParagraphFont"/>
    <w:uiPriority w:val="99"/>
    <w:unhideWhenUsed/>
    <w:rsid w:val="0098184D"/>
    <w:rPr>
      <w:color w:val="0000FF" w:themeColor="hyperlink"/>
      <w:u w:val="single"/>
    </w:rPr>
  </w:style>
  <w:style w:type="character" w:customStyle="1" w:styleId="apple-converted-space">
    <w:name w:val="apple-converted-space"/>
    <w:basedOn w:val="DefaultParagraphFont"/>
    <w:rsid w:val="00947FB6"/>
  </w:style>
  <w:style w:type="character" w:styleId="FollowedHyperlink">
    <w:name w:val="FollowedHyperlink"/>
    <w:basedOn w:val="DefaultParagraphFont"/>
    <w:uiPriority w:val="99"/>
    <w:semiHidden/>
    <w:unhideWhenUsed/>
    <w:rsid w:val="00947FB6"/>
    <w:rPr>
      <w:color w:val="800080" w:themeColor="followedHyperlink"/>
      <w:u w:val="single"/>
    </w:rPr>
  </w:style>
  <w:style w:type="character" w:styleId="CommentReference">
    <w:name w:val="annotation reference"/>
    <w:basedOn w:val="DefaultParagraphFont"/>
    <w:uiPriority w:val="99"/>
    <w:semiHidden/>
    <w:unhideWhenUsed/>
    <w:rsid w:val="0030284A"/>
    <w:rPr>
      <w:sz w:val="18"/>
      <w:szCs w:val="18"/>
    </w:rPr>
  </w:style>
  <w:style w:type="paragraph" w:styleId="CommentText">
    <w:name w:val="annotation text"/>
    <w:basedOn w:val="Normal"/>
    <w:link w:val="CommentTextChar"/>
    <w:uiPriority w:val="99"/>
    <w:semiHidden/>
    <w:unhideWhenUsed/>
    <w:rsid w:val="0030284A"/>
  </w:style>
  <w:style w:type="character" w:customStyle="1" w:styleId="CommentTextChar">
    <w:name w:val="Comment Text Char"/>
    <w:basedOn w:val="DefaultParagraphFont"/>
    <w:link w:val="CommentText"/>
    <w:uiPriority w:val="99"/>
    <w:semiHidden/>
    <w:rsid w:val="0030284A"/>
  </w:style>
  <w:style w:type="paragraph" w:styleId="CommentSubject">
    <w:name w:val="annotation subject"/>
    <w:basedOn w:val="CommentText"/>
    <w:next w:val="CommentText"/>
    <w:link w:val="CommentSubjectChar"/>
    <w:uiPriority w:val="99"/>
    <w:semiHidden/>
    <w:unhideWhenUsed/>
    <w:rsid w:val="0030284A"/>
    <w:rPr>
      <w:b/>
      <w:bCs/>
      <w:sz w:val="20"/>
      <w:szCs w:val="20"/>
    </w:rPr>
  </w:style>
  <w:style w:type="character" w:customStyle="1" w:styleId="CommentSubjectChar">
    <w:name w:val="Comment Subject Char"/>
    <w:basedOn w:val="CommentTextChar"/>
    <w:link w:val="CommentSubject"/>
    <w:uiPriority w:val="99"/>
    <w:semiHidden/>
    <w:rsid w:val="0030284A"/>
    <w:rPr>
      <w:b/>
      <w:bCs/>
      <w:sz w:val="20"/>
      <w:szCs w:val="20"/>
    </w:rPr>
  </w:style>
  <w:style w:type="paragraph" w:styleId="BalloonText">
    <w:name w:val="Balloon Text"/>
    <w:basedOn w:val="Normal"/>
    <w:link w:val="BalloonTextChar"/>
    <w:uiPriority w:val="99"/>
    <w:semiHidden/>
    <w:unhideWhenUsed/>
    <w:rsid w:val="0030284A"/>
    <w:rPr>
      <w:rFonts w:ascii="Lucida Grande" w:hAnsi="Lucida Grande"/>
      <w:sz w:val="18"/>
      <w:szCs w:val="18"/>
    </w:rPr>
  </w:style>
  <w:style w:type="character" w:customStyle="1" w:styleId="BalloonTextChar">
    <w:name w:val="Balloon Text Char"/>
    <w:basedOn w:val="DefaultParagraphFont"/>
    <w:link w:val="BalloonText"/>
    <w:uiPriority w:val="99"/>
    <w:semiHidden/>
    <w:rsid w:val="0030284A"/>
    <w:rPr>
      <w:rFonts w:ascii="Lucida Grande" w:hAnsi="Lucida Grande"/>
      <w:sz w:val="18"/>
      <w:szCs w:val="18"/>
    </w:rPr>
  </w:style>
  <w:style w:type="paragraph" w:styleId="Footer">
    <w:name w:val="footer"/>
    <w:basedOn w:val="Normal"/>
    <w:link w:val="FooterChar"/>
    <w:uiPriority w:val="99"/>
    <w:unhideWhenUsed/>
    <w:rsid w:val="00426D2F"/>
    <w:pPr>
      <w:tabs>
        <w:tab w:val="center" w:pos="4320"/>
        <w:tab w:val="right" w:pos="8640"/>
      </w:tabs>
    </w:pPr>
  </w:style>
  <w:style w:type="character" w:customStyle="1" w:styleId="FooterChar">
    <w:name w:val="Footer Char"/>
    <w:basedOn w:val="DefaultParagraphFont"/>
    <w:link w:val="Footer"/>
    <w:uiPriority w:val="99"/>
    <w:rsid w:val="00426D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FDC"/>
    <w:pPr>
      <w:tabs>
        <w:tab w:val="center" w:pos="4320"/>
        <w:tab w:val="right" w:pos="8640"/>
      </w:tabs>
    </w:pPr>
  </w:style>
  <w:style w:type="character" w:customStyle="1" w:styleId="HeaderChar">
    <w:name w:val="Header Char"/>
    <w:basedOn w:val="DefaultParagraphFont"/>
    <w:link w:val="Header"/>
    <w:uiPriority w:val="99"/>
    <w:rsid w:val="00DE1FDC"/>
  </w:style>
  <w:style w:type="character" w:styleId="PageNumber">
    <w:name w:val="page number"/>
    <w:basedOn w:val="DefaultParagraphFont"/>
    <w:uiPriority w:val="99"/>
    <w:semiHidden/>
    <w:unhideWhenUsed/>
    <w:rsid w:val="00DE1FDC"/>
  </w:style>
  <w:style w:type="character" w:styleId="Hyperlink">
    <w:name w:val="Hyperlink"/>
    <w:basedOn w:val="DefaultParagraphFont"/>
    <w:uiPriority w:val="99"/>
    <w:unhideWhenUsed/>
    <w:rsid w:val="0098184D"/>
    <w:rPr>
      <w:color w:val="0000FF" w:themeColor="hyperlink"/>
      <w:u w:val="single"/>
    </w:rPr>
  </w:style>
  <w:style w:type="character" w:customStyle="1" w:styleId="apple-converted-space">
    <w:name w:val="apple-converted-space"/>
    <w:basedOn w:val="DefaultParagraphFont"/>
    <w:rsid w:val="00947FB6"/>
  </w:style>
  <w:style w:type="character" w:styleId="FollowedHyperlink">
    <w:name w:val="FollowedHyperlink"/>
    <w:basedOn w:val="DefaultParagraphFont"/>
    <w:uiPriority w:val="99"/>
    <w:semiHidden/>
    <w:unhideWhenUsed/>
    <w:rsid w:val="00947FB6"/>
    <w:rPr>
      <w:color w:val="800080" w:themeColor="followedHyperlink"/>
      <w:u w:val="single"/>
    </w:rPr>
  </w:style>
  <w:style w:type="character" w:styleId="CommentReference">
    <w:name w:val="annotation reference"/>
    <w:basedOn w:val="DefaultParagraphFont"/>
    <w:uiPriority w:val="99"/>
    <w:semiHidden/>
    <w:unhideWhenUsed/>
    <w:rsid w:val="0030284A"/>
    <w:rPr>
      <w:sz w:val="18"/>
      <w:szCs w:val="18"/>
    </w:rPr>
  </w:style>
  <w:style w:type="paragraph" w:styleId="CommentText">
    <w:name w:val="annotation text"/>
    <w:basedOn w:val="Normal"/>
    <w:link w:val="CommentTextChar"/>
    <w:uiPriority w:val="99"/>
    <w:semiHidden/>
    <w:unhideWhenUsed/>
    <w:rsid w:val="0030284A"/>
  </w:style>
  <w:style w:type="character" w:customStyle="1" w:styleId="CommentTextChar">
    <w:name w:val="Comment Text Char"/>
    <w:basedOn w:val="DefaultParagraphFont"/>
    <w:link w:val="CommentText"/>
    <w:uiPriority w:val="99"/>
    <w:semiHidden/>
    <w:rsid w:val="0030284A"/>
  </w:style>
  <w:style w:type="paragraph" w:styleId="CommentSubject">
    <w:name w:val="annotation subject"/>
    <w:basedOn w:val="CommentText"/>
    <w:next w:val="CommentText"/>
    <w:link w:val="CommentSubjectChar"/>
    <w:uiPriority w:val="99"/>
    <w:semiHidden/>
    <w:unhideWhenUsed/>
    <w:rsid w:val="0030284A"/>
    <w:rPr>
      <w:b/>
      <w:bCs/>
      <w:sz w:val="20"/>
      <w:szCs w:val="20"/>
    </w:rPr>
  </w:style>
  <w:style w:type="character" w:customStyle="1" w:styleId="CommentSubjectChar">
    <w:name w:val="Comment Subject Char"/>
    <w:basedOn w:val="CommentTextChar"/>
    <w:link w:val="CommentSubject"/>
    <w:uiPriority w:val="99"/>
    <w:semiHidden/>
    <w:rsid w:val="0030284A"/>
    <w:rPr>
      <w:b/>
      <w:bCs/>
      <w:sz w:val="20"/>
      <w:szCs w:val="20"/>
    </w:rPr>
  </w:style>
  <w:style w:type="paragraph" w:styleId="BalloonText">
    <w:name w:val="Balloon Text"/>
    <w:basedOn w:val="Normal"/>
    <w:link w:val="BalloonTextChar"/>
    <w:uiPriority w:val="99"/>
    <w:semiHidden/>
    <w:unhideWhenUsed/>
    <w:rsid w:val="0030284A"/>
    <w:rPr>
      <w:rFonts w:ascii="Lucida Grande" w:hAnsi="Lucida Grande"/>
      <w:sz w:val="18"/>
      <w:szCs w:val="18"/>
    </w:rPr>
  </w:style>
  <w:style w:type="character" w:customStyle="1" w:styleId="BalloonTextChar">
    <w:name w:val="Balloon Text Char"/>
    <w:basedOn w:val="DefaultParagraphFont"/>
    <w:link w:val="BalloonText"/>
    <w:uiPriority w:val="99"/>
    <w:semiHidden/>
    <w:rsid w:val="0030284A"/>
    <w:rPr>
      <w:rFonts w:ascii="Lucida Grande" w:hAnsi="Lucida Grande"/>
      <w:sz w:val="18"/>
      <w:szCs w:val="18"/>
    </w:rPr>
  </w:style>
  <w:style w:type="paragraph" w:styleId="Footer">
    <w:name w:val="footer"/>
    <w:basedOn w:val="Normal"/>
    <w:link w:val="FooterChar"/>
    <w:uiPriority w:val="99"/>
    <w:unhideWhenUsed/>
    <w:rsid w:val="00426D2F"/>
    <w:pPr>
      <w:tabs>
        <w:tab w:val="center" w:pos="4320"/>
        <w:tab w:val="right" w:pos="8640"/>
      </w:tabs>
    </w:pPr>
  </w:style>
  <w:style w:type="character" w:customStyle="1" w:styleId="FooterChar">
    <w:name w:val="Footer Char"/>
    <w:basedOn w:val="DefaultParagraphFont"/>
    <w:link w:val="Footer"/>
    <w:uiPriority w:val="99"/>
    <w:rsid w:val="0042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91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B9F65-B2F6-F342-9CD7-33076FC7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9878</Words>
  <Characters>56307</Characters>
  <Application>Microsoft Macintosh Word</Application>
  <DocSecurity>0</DocSecurity>
  <Lines>469</Lines>
  <Paragraphs>132</Paragraphs>
  <ScaleCrop>false</ScaleCrop>
  <Company/>
  <LinksUpToDate>false</LinksUpToDate>
  <CharactersWithSpaces>66053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Fox</dc:creator>
  <cp:keywords/>
  <dc:description/>
  <cp:lastModifiedBy>Hanna Fox</cp:lastModifiedBy>
  <cp:revision>2</cp:revision>
  <dcterms:created xsi:type="dcterms:W3CDTF">2015-04-25T19:30:00Z</dcterms:created>
  <dcterms:modified xsi:type="dcterms:W3CDTF">2015-04-25T19:30:00Z</dcterms:modified>
</cp:coreProperties>
</file>